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B115D4">
        <w:trPr>
          <w:jc w:val="center"/>
        </w:trPr>
        <w:tc>
          <w:tcPr>
            <w:tcW w:w="5103" w:type="dxa"/>
            <w:gridSpan w:val="2"/>
            <w:tcMar>
              <w:left w:w="170" w:type="dxa"/>
              <w:right w:w="170" w:type="dxa"/>
            </w:tcMar>
          </w:tcPr>
          <w:p w14:paraId="5BE0B848" w14:textId="5B77CBC1" w:rsidR="006B5F5A" w:rsidRPr="007117F9" w:rsidRDefault="00DC61D8" w:rsidP="007F17D4">
            <w:pPr>
              <w:tabs>
                <w:tab w:val="center" w:pos="2197"/>
              </w:tabs>
              <w:jc w:val="center"/>
              <w:rPr>
                <w:rFonts w:cs="Arial"/>
                <w:spacing w:val="-2"/>
                <w:sz w:val="18"/>
                <w:szCs w:val="18"/>
                <w:lang w:val="nl-NL"/>
              </w:rPr>
            </w:pPr>
            <w:r w:rsidRPr="007117F9">
              <w:rPr>
                <w:rFonts w:cs="Arial"/>
                <w:b/>
                <w:spacing w:val="-2"/>
                <w:sz w:val="18"/>
                <w:szCs w:val="18"/>
                <w:lang w:val="nl-NL"/>
              </w:rPr>
              <w:t>CHAPITRE IV-bis</w:t>
            </w:r>
          </w:p>
        </w:tc>
        <w:tc>
          <w:tcPr>
            <w:tcW w:w="5103" w:type="dxa"/>
            <w:gridSpan w:val="2"/>
            <w:tcMar>
              <w:left w:w="170" w:type="dxa"/>
              <w:right w:w="170" w:type="dxa"/>
            </w:tcMar>
          </w:tcPr>
          <w:p w14:paraId="570A7BBB" w14:textId="1DD09AD5" w:rsidR="006B5F5A" w:rsidRPr="007117F9" w:rsidRDefault="00DC61D8" w:rsidP="007F17D4">
            <w:pPr>
              <w:tabs>
                <w:tab w:val="center" w:pos="2197"/>
              </w:tabs>
              <w:jc w:val="center"/>
              <w:rPr>
                <w:rFonts w:cs="Arial"/>
                <w:b/>
                <w:spacing w:val="-2"/>
                <w:sz w:val="18"/>
                <w:szCs w:val="18"/>
                <w:lang w:val="nl-NL"/>
              </w:rPr>
            </w:pPr>
            <w:r w:rsidRPr="007117F9">
              <w:rPr>
                <w:rFonts w:cs="Arial"/>
                <w:b/>
                <w:spacing w:val="-2"/>
                <w:sz w:val="18"/>
                <w:szCs w:val="18"/>
                <w:lang w:val="nl-NL"/>
              </w:rPr>
              <w:t>HOOFDSTUK IV-bis</w:t>
            </w:r>
          </w:p>
        </w:tc>
      </w:tr>
      <w:tr w:rsidR="006B5F5A" w:rsidRPr="007117F9" w14:paraId="764E08FC" w14:textId="77777777" w:rsidTr="00B115D4">
        <w:trPr>
          <w:jc w:val="center"/>
        </w:trPr>
        <w:tc>
          <w:tcPr>
            <w:tcW w:w="5103"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5103"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7117F9" w14:paraId="3867495E" w14:textId="77777777" w:rsidTr="00B115D4">
        <w:trPr>
          <w:jc w:val="center"/>
        </w:trPr>
        <w:tc>
          <w:tcPr>
            <w:tcW w:w="5103" w:type="dxa"/>
            <w:gridSpan w:val="2"/>
            <w:tcMar>
              <w:left w:w="170" w:type="dxa"/>
              <w:right w:w="170" w:type="dxa"/>
            </w:tcMar>
          </w:tcPr>
          <w:p w14:paraId="39A88853" w14:textId="77777777" w:rsidR="00DC61D8" w:rsidRPr="007117F9"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7D179227" w14:textId="11829E70" w:rsidR="006B5F5A" w:rsidRPr="00DC61D8" w:rsidRDefault="00DC61D8" w:rsidP="00DC61D8">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c>
          <w:tcPr>
            <w:tcW w:w="5103" w:type="dxa"/>
            <w:gridSpan w:val="2"/>
            <w:tcMar>
              <w:left w:w="170" w:type="dxa"/>
              <w:right w:w="170" w:type="dxa"/>
            </w:tcMar>
          </w:tcPr>
          <w:p w14:paraId="70754A65" w14:textId="77777777" w:rsidR="00DC61D8" w:rsidRPr="007117F9" w:rsidRDefault="00DC61D8" w:rsidP="00DC61D8">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461BED31" w14:textId="5EB3FAC7" w:rsidR="006B5F5A" w:rsidRPr="007117F9" w:rsidRDefault="00DC61D8" w:rsidP="00DC61D8">
            <w:pPr>
              <w:tabs>
                <w:tab w:val="center" w:pos="2197"/>
              </w:tabs>
              <w:jc w:val="center"/>
              <w:rPr>
                <w:rFonts w:cs="Arial"/>
                <w:spacing w:val="-2"/>
                <w:sz w:val="18"/>
                <w:szCs w:val="18"/>
                <w:lang w:val="fr-FR"/>
              </w:rPr>
            </w:pPr>
            <w:r w:rsidRPr="007117F9">
              <w:rPr>
                <w:rFonts w:cs="Arial"/>
                <w:spacing w:val="-2"/>
                <w:sz w:val="18"/>
                <w:szCs w:val="18"/>
                <w:lang w:val="nl-NL"/>
              </w:rPr>
              <w:t>niet geregistreerde specialiteiten</w:t>
            </w:r>
          </w:p>
        </w:tc>
      </w:tr>
      <w:tr w:rsidR="006B5F5A" w:rsidRPr="007117F9" w14:paraId="1F9C7D5C" w14:textId="77777777" w:rsidTr="00B115D4">
        <w:trPr>
          <w:jc w:val="center"/>
        </w:trPr>
        <w:tc>
          <w:tcPr>
            <w:tcW w:w="5103" w:type="dxa"/>
            <w:gridSpan w:val="2"/>
            <w:tcMar>
              <w:left w:w="170" w:type="dxa"/>
              <w:right w:w="170" w:type="dxa"/>
            </w:tcMar>
          </w:tcPr>
          <w:p w14:paraId="6D766972" w14:textId="77777777" w:rsidR="006B5F5A" w:rsidRPr="00340059" w:rsidRDefault="006B5F5A" w:rsidP="007F17D4">
            <w:pPr>
              <w:tabs>
                <w:tab w:val="center" w:pos="2197"/>
              </w:tabs>
              <w:rPr>
                <w:rFonts w:cs="Arial"/>
                <w:spacing w:val="-2"/>
                <w:sz w:val="18"/>
                <w:szCs w:val="18"/>
                <w:lang w:val="fr-FR"/>
              </w:rPr>
            </w:pPr>
          </w:p>
        </w:tc>
        <w:tc>
          <w:tcPr>
            <w:tcW w:w="5103" w:type="dxa"/>
            <w:gridSpan w:val="2"/>
            <w:tcMar>
              <w:left w:w="170" w:type="dxa"/>
              <w:right w:w="170" w:type="dxa"/>
            </w:tcMar>
          </w:tcPr>
          <w:p w14:paraId="72B8337F" w14:textId="77777777" w:rsidR="006B5F5A" w:rsidRPr="00340059" w:rsidRDefault="006B5F5A" w:rsidP="007F17D4">
            <w:pPr>
              <w:tabs>
                <w:tab w:val="center" w:pos="2197"/>
              </w:tabs>
              <w:rPr>
                <w:rFonts w:cs="Arial"/>
                <w:spacing w:val="-2"/>
                <w:sz w:val="18"/>
                <w:szCs w:val="18"/>
                <w:lang w:val="fr-FR"/>
              </w:rPr>
            </w:pPr>
          </w:p>
        </w:tc>
      </w:tr>
      <w:tr w:rsidR="00DC61D8" w:rsidRPr="00DC61D8" w14:paraId="53A83986" w14:textId="77777777" w:rsidTr="00B115D4">
        <w:trPr>
          <w:jc w:val="center"/>
        </w:trPr>
        <w:tc>
          <w:tcPr>
            <w:tcW w:w="5103" w:type="dxa"/>
            <w:gridSpan w:val="2"/>
            <w:tcMar>
              <w:left w:w="170" w:type="dxa"/>
              <w:right w:w="170" w:type="dxa"/>
            </w:tcMar>
          </w:tcPr>
          <w:p w14:paraId="5181ED64" w14:textId="5A90949F"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c>
          <w:tcPr>
            <w:tcW w:w="5103" w:type="dxa"/>
            <w:gridSpan w:val="2"/>
            <w:tcMar>
              <w:left w:w="170" w:type="dxa"/>
              <w:right w:w="170" w:type="dxa"/>
            </w:tcMar>
          </w:tcPr>
          <w:p w14:paraId="007CED4C" w14:textId="5332099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r>
      <w:tr w:rsidR="00DC61D8" w:rsidRPr="00DC61D8" w14:paraId="2970A1CB" w14:textId="77777777" w:rsidTr="00B115D4">
        <w:trPr>
          <w:jc w:val="center"/>
        </w:trPr>
        <w:tc>
          <w:tcPr>
            <w:tcW w:w="5103" w:type="dxa"/>
            <w:gridSpan w:val="2"/>
            <w:tcMar>
              <w:left w:w="170" w:type="dxa"/>
              <w:right w:w="170" w:type="dxa"/>
            </w:tcMar>
          </w:tcPr>
          <w:p w14:paraId="77B3BD5E"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4574B5D6"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DC61D8" w14:paraId="0C16E551" w14:textId="77777777" w:rsidTr="00B115D4">
        <w:trPr>
          <w:jc w:val="center"/>
        </w:trPr>
        <w:tc>
          <w:tcPr>
            <w:tcW w:w="5103" w:type="dxa"/>
            <w:gridSpan w:val="2"/>
            <w:tcMar>
              <w:left w:w="170" w:type="dxa"/>
              <w:right w:w="170" w:type="dxa"/>
            </w:tcMar>
          </w:tcPr>
          <w:p w14:paraId="60FBB46C" w14:textId="77A27E7C"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c>
          <w:tcPr>
            <w:tcW w:w="5103" w:type="dxa"/>
            <w:gridSpan w:val="2"/>
            <w:tcMar>
              <w:left w:w="170" w:type="dxa"/>
              <w:right w:w="170" w:type="dxa"/>
            </w:tcMar>
          </w:tcPr>
          <w:p w14:paraId="33457E9C" w14:textId="41A6B9A0"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Pr>
                <w:rFonts w:cs="Arial"/>
                <w:spacing w:val="-2"/>
                <w:sz w:val="18"/>
                <w:szCs w:val="18"/>
                <w:lang w:val="nl-NL"/>
              </w:rPr>
              <w:t xml:space="preserve"> </w:t>
            </w:r>
          </w:p>
        </w:tc>
      </w:tr>
      <w:tr w:rsidR="00DC61D8" w:rsidRPr="00DC61D8" w14:paraId="6DC9DC8D" w14:textId="77777777" w:rsidTr="00B115D4">
        <w:trPr>
          <w:jc w:val="center"/>
        </w:trPr>
        <w:tc>
          <w:tcPr>
            <w:tcW w:w="5103" w:type="dxa"/>
            <w:gridSpan w:val="2"/>
            <w:tcMar>
              <w:left w:w="170" w:type="dxa"/>
              <w:right w:w="170" w:type="dxa"/>
            </w:tcMar>
          </w:tcPr>
          <w:p w14:paraId="65680234" w14:textId="77777777" w:rsidR="00DC61D8" w:rsidRPr="00DC61D8"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103" w:type="dxa"/>
            <w:gridSpan w:val="2"/>
            <w:tcMar>
              <w:left w:w="170" w:type="dxa"/>
              <w:right w:w="170" w:type="dxa"/>
            </w:tcMar>
          </w:tcPr>
          <w:p w14:paraId="6229846B" w14:textId="77777777" w:rsidR="00DC61D8" w:rsidRPr="00DC61D8"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2C1F0D0C" w14:textId="77777777" w:rsidTr="00B115D4">
        <w:trPr>
          <w:jc w:val="center"/>
        </w:trPr>
        <w:tc>
          <w:tcPr>
            <w:tcW w:w="5103" w:type="dxa"/>
            <w:gridSpan w:val="2"/>
            <w:tcMar>
              <w:left w:w="170" w:type="dxa"/>
              <w:right w:w="170" w:type="dxa"/>
            </w:tcMar>
          </w:tcPr>
          <w:p w14:paraId="741F0BB3" w14:textId="37663CE0" w:rsidR="00DC61D8" w:rsidRPr="007117F9" w:rsidRDefault="00DC61D8" w:rsidP="00DC61D8">
            <w:pPr>
              <w:tabs>
                <w:tab w:val="center" w:pos="2197"/>
              </w:tabs>
              <w:jc w:val="center"/>
              <w:rPr>
                <w:rFonts w:cs="Arial"/>
                <w:spacing w:val="-2"/>
                <w:sz w:val="18"/>
                <w:szCs w:val="18"/>
                <w:lang w:val="nl-NL"/>
              </w:rPr>
            </w:pPr>
            <w:r>
              <w:rPr>
                <w:rFonts w:cs="Arial"/>
                <w:b/>
                <w:spacing w:val="-2"/>
                <w:sz w:val="18"/>
                <w:szCs w:val="18"/>
                <w:lang w:val="nl-NL"/>
              </w:rPr>
              <w:t xml:space="preserve">1 </w:t>
            </w:r>
            <w:r w:rsidRPr="007117F9">
              <w:rPr>
                <w:rFonts w:cs="Arial"/>
                <w:b/>
                <w:spacing w:val="-2"/>
                <w:sz w:val="18"/>
                <w:szCs w:val="18"/>
                <w:lang w:val="nl-NL"/>
              </w:rPr>
              <w:t>- Conditions générales</w:t>
            </w:r>
          </w:p>
        </w:tc>
        <w:tc>
          <w:tcPr>
            <w:tcW w:w="5103" w:type="dxa"/>
            <w:gridSpan w:val="2"/>
            <w:tcMar>
              <w:left w:w="170" w:type="dxa"/>
              <w:right w:w="170" w:type="dxa"/>
            </w:tcMar>
          </w:tcPr>
          <w:p w14:paraId="6610C33E" w14:textId="683A1F29"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1 - Algemene voorwaarden</w:t>
            </w:r>
          </w:p>
        </w:tc>
      </w:tr>
      <w:tr w:rsidR="00DC61D8" w:rsidRPr="00794C21" w14:paraId="2B1EA419" w14:textId="77777777" w:rsidTr="00B115D4">
        <w:trPr>
          <w:jc w:val="center"/>
        </w:trPr>
        <w:tc>
          <w:tcPr>
            <w:tcW w:w="726" w:type="dxa"/>
            <w:tcMar>
              <w:left w:w="170" w:type="dxa"/>
              <w:right w:w="170" w:type="dxa"/>
            </w:tcMar>
          </w:tcPr>
          <w:p w14:paraId="3E4451F0"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5E083017" w14:textId="77777777" w:rsidR="00DC61D8" w:rsidRPr="00794C21"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726" w:type="dxa"/>
            <w:tcMar>
              <w:left w:w="170" w:type="dxa"/>
              <w:right w:w="170" w:type="dxa"/>
            </w:tcMar>
          </w:tcPr>
          <w:p w14:paraId="7B29BC44"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4377" w:type="dxa"/>
            <w:tcMar>
              <w:left w:w="170" w:type="dxa"/>
              <w:right w:w="170" w:type="dxa"/>
            </w:tcMar>
          </w:tcPr>
          <w:p w14:paraId="0B287BB6"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DC61D8" w:rsidRPr="00B115D4" w14:paraId="03E5FB6A" w14:textId="77777777" w:rsidTr="00B115D4">
        <w:trPr>
          <w:jc w:val="center"/>
        </w:trPr>
        <w:tc>
          <w:tcPr>
            <w:tcW w:w="726" w:type="dxa"/>
            <w:noWrap/>
            <w:tcMar>
              <w:left w:w="0" w:type="dxa"/>
              <w:right w:w="0" w:type="dxa"/>
            </w:tcMar>
          </w:tcPr>
          <w:p w14:paraId="518A28A6"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4377" w:type="dxa"/>
            <w:tcMar>
              <w:left w:w="170" w:type="dxa"/>
              <w:right w:w="170" w:type="dxa"/>
            </w:tcMar>
          </w:tcPr>
          <w:p w14:paraId="3C4652C7" w14:textId="1AA2F0A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Pr>
                <w:rFonts w:cs="Arial"/>
                <w:spacing w:val="-2"/>
                <w:sz w:val="18"/>
                <w:szCs w:val="18"/>
                <w:lang w:val="fr-FR"/>
              </w:rPr>
              <w:t>u</w:t>
            </w:r>
            <w:r>
              <w:rPr>
                <w:rFonts w:cs="Arial"/>
                <w:spacing w:val="-2"/>
                <w:sz w:val="18"/>
                <w:szCs w:val="18"/>
                <w:lang w:val="fr-FR"/>
              </w:rPr>
              <w:softHyphen/>
              <w:t>tions.</w:t>
            </w:r>
          </w:p>
        </w:tc>
        <w:tc>
          <w:tcPr>
            <w:tcW w:w="726" w:type="dxa"/>
            <w:noWrap/>
            <w:tcMar>
              <w:left w:w="0" w:type="dxa"/>
              <w:right w:w="0" w:type="dxa"/>
            </w:tcMar>
          </w:tcPr>
          <w:p w14:paraId="70E27A66" w14:textId="77777777" w:rsidR="00DC61D8" w:rsidRPr="005974B6"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4377" w:type="dxa"/>
            <w:tcMar>
              <w:left w:w="170" w:type="dxa"/>
              <w:right w:w="170" w:type="dxa"/>
            </w:tcMar>
          </w:tcPr>
          <w:p w14:paraId="3B7EA0A7" w14:textId="5D04DAA9"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r>
      <w:tr w:rsidR="00DC61D8" w:rsidRPr="00B115D4" w14:paraId="00DC1FB9" w14:textId="77777777" w:rsidTr="00B115D4">
        <w:trPr>
          <w:jc w:val="center"/>
        </w:trPr>
        <w:tc>
          <w:tcPr>
            <w:tcW w:w="726" w:type="dxa"/>
            <w:noWrap/>
            <w:tcMar>
              <w:left w:w="0" w:type="dxa"/>
              <w:right w:w="0" w:type="dxa"/>
            </w:tcMar>
          </w:tcPr>
          <w:p w14:paraId="28EAD5B2"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414CC61"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F1805A"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7D5D1B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393B2FE4" w14:textId="77777777" w:rsidTr="00B115D4">
        <w:trPr>
          <w:jc w:val="center"/>
        </w:trPr>
        <w:tc>
          <w:tcPr>
            <w:tcW w:w="726" w:type="dxa"/>
            <w:noWrap/>
            <w:tcMar>
              <w:left w:w="0" w:type="dxa"/>
              <w:right w:w="0" w:type="dxa"/>
            </w:tcMar>
          </w:tcPr>
          <w:p w14:paraId="17B9AA71"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8CC674D" w14:textId="77F6718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c>
          <w:tcPr>
            <w:tcW w:w="726" w:type="dxa"/>
            <w:noWrap/>
            <w:tcMar>
              <w:left w:w="0" w:type="dxa"/>
              <w:right w:w="0" w:type="dxa"/>
            </w:tcMar>
          </w:tcPr>
          <w:p w14:paraId="64A3C76E"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4377" w:type="dxa"/>
            <w:tcMar>
              <w:left w:w="170" w:type="dxa"/>
              <w:right w:w="170" w:type="dxa"/>
            </w:tcMar>
          </w:tcPr>
          <w:p w14:paraId="7A26B002" w14:textId="1E457DCF"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r>
      <w:tr w:rsidR="00DC61D8" w:rsidRPr="00B115D4" w14:paraId="02D582FE" w14:textId="77777777" w:rsidTr="00B115D4">
        <w:trPr>
          <w:jc w:val="center"/>
        </w:trPr>
        <w:tc>
          <w:tcPr>
            <w:tcW w:w="726" w:type="dxa"/>
            <w:noWrap/>
            <w:tcMar>
              <w:left w:w="0" w:type="dxa"/>
              <w:right w:w="0" w:type="dxa"/>
            </w:tcMar>
          </w:tcPr>
          <w:p w14:paraId="2EA91EB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290C00A3"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C8142DC" w14:textId="77777777" w:rsidR="00DC61D8" w:rsidRPr="00B115D4"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5EEBD0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1D7B7C4C" w14:textId="77777777" w:rsidTr="00B115D4">
        <w:trPr>
          <w:jc w:val="center"/>
        </w:trPr>
        <w:tc>
          <w:tcPr>
            <w:tcW w:w="726" w:type="dxa"/>
            <w:noWrap/>
            <w:tcMar>
              <w:left w:w="0" w:type="dxa"/>
              <w:right w:w="0" w:type="dxa"/>
            </w:tcMar>
          </w:tcPr>
          <w:p w14:paraId="540F0385"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F06D677" w14:textId="446D6F54"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c>
          <w:tcPr>
            <w:tcW w:w="726" w:type="dxa"/>
            <w:noWrap/>
            <w:tcMar>
              <w:left w:w="0" w:type="dxa"/>
              <w:right w:w="0" w:type="dxa"/>
            </w:tcMar>
          </w:tcPr>
          <w:p w14:paraId="245E7936" w14:textId="77777777" w:rsidR="00DC61D8" w:rsidRPr="00F55FB5" w:rsidRDefault="00DC61D8" w:rsidP="00DC61D8">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4377" w:type="dxa"/>
            <w:tcMar>
              <w:left w:w="170" w:type="dxa"/>
              <w:right w:w="170" w:type="dxa"/>
            </w:tcMar>
          </w:tcPr>
          <w:p w14:paraId="575CC842" w14:textId="6AF81DB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kend op grond van de op de aankoopfak</w:t>
            </w:r>
            <w:r w:rsidRPr="007117F9">
              <w:rPr>
                <w:rFonts w:cs="Arial"/>
                <w:spacing w:val="-2"/>
                <w:sz w:val="18"/>
                <w:szCs w:val="18"/>
                <w:lang w:val="nl-NL"/>
              </w:rPr>
              <w:softHyphen/>
              <w:t>tuur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gegaan van de hiervo</w:t>
            </w:r>
            <w:r w:rsidRPr="007117F9">
              <w:rPr>
                <w:rFonts w:cs="Arial"/>
                <w:spacing w:val="-2"/>
                <w:sz w:val="18"/>
                <w:szCs w:val="18"/>
                <w:lang w:val="nl-NL"/>
              </w:rPr>
              <w:softHyphen/>
              <w:t>ren bedoel</w:t>
            </w:r>
            <w:r w:rsidRPr="007117F9">
              <w:rPr>
                <w:rFonts w:cs="Arial"/>
                <w:spacing w:val="-2"/>
                <w:sz w:val="18"/>
                <w:szCs w:val="18"/>
                <w:lang w:val="nl-NL"/>
              </w:rPr>
              <w:softHyphen/>
              <w:t>de fak</w:t>
            </w:r>
            <w:r w:rsidRPr="007117F9">
              <w:rPr>
                <w:rFonts w:cs="Arial"/>
                <w:spacing w:val="-2"/>
                <w:sz w:val="18"/>
                <w:szCs w:val="18"/>
                <w:lang w:val="nl-NL"/>
              </w:rPr>
              <w:softHyphen/>
              <w:t>tuurprijs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r>
      <w:tr w:rsidR="00DC61D8" w:rsidRPr="00B115D4" w14:paraId="64431B6C" w14:textId="77777777" w:rsidTr="00B115D4">
        <w:trPr>
          <w:jc w:val="center"/>
        </w:trPr>
        <w:tc>
          <w:tcPr>
            <w:tcW w:w="726" w:type="dxa"/>
            <w:noWrap/>
            <w:tcMar>
              <w:left w:w="0" w:type="dxa"/>
              <w:right w:w="0" w:type="dxa"/>
            </w:tcMar>
          </w:tcPr>
          <w:p w14:paraId="255C2DC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C55E22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5D27D83"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5725E80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6129BE66" w14:textId="77777777" w:rsidTr="00B115D4">
        <w:trPr>
          <w:jc w:val="center"/>
        </w:trPr>
        <w:tc>
          <w:tcPr>
            <w:tcW w:w="726" w:type="dxa"/>
            <w:noWrap/>
            <w:tcMar>
              <w:left w:w="0" w:type="dxa"/>
              <w:right w:w="0" w:type="dxa"/>
            </w:tcMar>
          </w:tcPr>
          <w:p w14:paraId="7D7FF7FD" w14:textId="77777777" w:rsidR="00DC61D8" w:rsidRPr="00F55FB5"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4377" w:type="dxa"/>
            <w:tcMar>
              <w:left w:w="170" w:type="dxa"/>
              <w:right w:w="170" w:type="dxa"/>
            </w:tcMar>
          </w:tcPr>
          <w:p w14:paraId="3159AB7C" w14:textId="3554C0F5"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c>
          <w:tcPr>
            <w:tcW w:w="726" w:type="dxa"/>
            <w:noWrap/>
            <w:tcMar>
              <w:left w:w="0" w:type="dxa"/>
              <w:right w:w="0" w:type="dxa"/>
            </w:tcMar>
          </w:tcPr>
          <w:p w14:paraId="58147037" w14:textId="77777777" w:rsidR="00DC61D8" w:rsidRPr="00F55FB5"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4377" w:type="dxa"/>
            <w:tcMar>
              <w:left w:w="170" w:type="dxa"/>
              <w:right w:w="170" w:type="dxa"/>
            </w:tcMar>
          </w:tcPr>
          <w:p w14:paraId="2321C25A" w14:textId="4B986260"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Per aantal eenheden, bedoeld sub 2° hier</w:t>
            </w:r>
            <w:r w:rsidRPr="007117F9">
              <w:rPr>
                <w:rFonts w:cs="Arial"/>
                <w:spacing w:val="-2"/>
                <w:sz w:val="18"/>
                <w:szCs w:val="18"/>
                <w:lang w:val="nl-NL"/>
              </w:rPr>
              <w:softHyphen/>
              <w:t>voren,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r>
      <w:tr w:rsidR="00DC61D8" w:rsidRPr="00B115D4" w14:paraId="1BA9777C" w14:textId="77777777" w:rsidTr="00B115D4">
        <w:trPr>
          <w:jc w:val="center"/>
        </w:trPr>
        <w:tc>
          <w:tcPr>
            <w:tcW w:w="726" w:type="dxa"/>
            <w:noWrap/>
            <w:tcMar>
              <w:left w:w="0" w:type="dxa"/>
              <w:right w:w="0" w:type="dxa"/>
            </w:tcMar>
          </w:tcPr>
          <w:p w14:paraId="197A48B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034553E7"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15B085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2FF3164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6C2BF6D1" w14:textId="77777777" w:rsidTr="00B115D4">
        <w:trPr>
          <w:jc w:val="center"/>
        </w:trPr>
        <w:tc>
          <w:tcPr>
            <w:tcW w:w="726" w:type="dxa"/>
            <w:noWrap/>
            <w:tcMar>
              <w:left w:w="0" w:type="dxa"/>
              <w:right w:w="0" w:type="dxa"/>
            </w:tcMar>
          </w:tcPr>
          <w:p w14:paraId="4F59888B"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8D814B0" w14:textId="0F7B4FDF"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c>
          <w:tcPr>
            <w:tcW w:w="726" w:type="dxa"/>
            <w:noWrap/>
            <w:tcMar>
              <w:left w:w="0" w:type="dxa"/>
              <w:right w:w="0" w:type="dxa"/>
            </w:tcMar>
          </w:tcPr>
          <w:p w14:paraId="549E75C2"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E187ACD" w14:textId="3002CA94"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r>
      <w:tr w:rsidR="00DC61D8" w:rsidRPr="00B115D4" w14:paraId="08493AED" w14:textId="77777777" w:rsidTr="00B115D4">
        <w:trPr>
          <w:jc w:val="center"/>
        </w:trPr>
        <w:tc>
          <w:tcPr>
            <w:tcW w:w="726" w:type="dxa"/>
            <w:noWrap/>
            <w:tcMar>
              <w:left w:w="0" w:type="dxa"/>
              <w:right w:w="0" w:type="dxa"/>
            </w:tcMar>
          </w:tcPr>
          <w:p w14:paraId="6DA8A2CA"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797A0AC0"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59FB7331"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1E7EF9F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3177C6B2" w14:textId="77777777" w:rsidTr="00B115D4">
        <w:trPr>
          <w:jc w:val="center"/>
        </w:trPr>
        <w:tc>
          <w:tcPr>
            <w:tcW w:w="726" w:type="dxa"/>
            <w:noWrap/>
            <w:tcMar>
              <w:left w:w="0" w:type="dxa"/>
              <w:right w:w="0" w:type="dxa"/>
            </w:tcMar>
          </w:tcPr>
          <w:p w14:paraId="7C664BAB" w14:textId="77777777" w:rsidR="00DC61D8" w:rsidRPr="007117F9"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4377" w:type="dxa"/>
            <w:tcMar>
              <w:left w:w="170" w:type="dxa"/>
              <w:right w:w="170" w:type="dxa"/>
            </w:tcMar>
          </w:tcPr>
          <w:p w14:paraId="7B71DA73" w14:textId="08B3E1D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c>
          <w:tcPr>
            <w:tcW w:w="726" w:type="dxa"/>
            <w:noWrap/>
            <w:tcMar>
              <w:left w:w="0" w:type="dxa"/>
              <w:right w:w="0" w:type="dxa"/>
            </w:tcMar>
          </w:tcPr>
          <w:p w14:paraId="59D66D61" w14:textId="77777777" w:rsidR="00DC61D8" w:rsidRPr="00794C21"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4377" w:type="dxa"/>
            <w:tcMar>
              <w:left w:w="170" w:type="dxa"/>
              <w:right w:w="170" w:type="dxa"/>
            </w:tcMar>
          </w:tcPr>
          <w:p w14:paraId="122F08F8" w14:textId="7622511A"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sen als hij op het voor</w:t>
            </w:r>
            <w:r w:rsidRPr="007117F9">
              <w:rPr>
                <w:rFonts w:cs="Arial"/>
                <w:spacing w:val="-2"/>
                <w:sz w:val="18"/>
                <w:szCs w:val="18"/>
                <w:lang w:val="nl-NL"/>
              </w:rPr>
              <w:softHyphen/>
              <w:t>schrifbriefje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geleverd machtigingsattest, samen met de sub 2 hiervoren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r>
      <w:tr w:rsidR="00DC61D8" w:rsidRPr="00B115D4" w14:paraId="378F00C4" w14:textId="77777777" w:rsidTr="00B115D4">
        <w:trPr>
          <w:jc w:val="center"/>
        </w:trPr>
        <w:tc>
          <w:tcPr>
            <w:tcW w:w="726" w:type="dxa"/>
            <w:noWrap/>
            <w:tcMar>
              <w:left w:w="0" w:type="dxa"/>
              <w:right w:w="0" w:type="dxa"/>
            </w:tcMar>
          </w:tcPr>
          <w:p w14:paraId="5B0E61C5"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51C9AADE"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40ACDA7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246F76E"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5004E08D" w14:textId="77777777" w:rsidTr="00B115D4">
        <w:trPr>
          <w:jc w:val="center"/>
        </w:trPr>
        <w:tc>
          <w:tcPr>
            <w:tcW w:w="726" w:type="dxa"/>
            <w:noWrap/>
            <w:tcMar>
              <w:left w:w="0" w:type="dxa"/>
              <w:right w:w="0" w:type="dxa"/>
            </w:tcMar>
          </w:tcPr>
          <w:p w14:paraId="041D35D3"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A6923A" w14:textId="77EB1DE3"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c>
          <w:tcPr>
            <w:tcW w:w="726" w:type="dxa"/>
            <w:noWrap/>
            <w:tcMar>
              <w:left w:w="0" w:type="dxa"/>
              <w:right w:w="0" w:type="dxa"/>
            </w:tcMar>
          </w:tcPr>
          <w:p w14:paraId="6444AC3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398F783F" w14:textId="1D8E3B4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gevuld voor</w:t>
            </w:r>
            <w:r w:rsidRPr="007117F9">
              <w:rPr>
                <w:rFonts w:cs="Arial"/>
                <w:spacing w:val="-2"/>
                <w:sz w:val="18"/>
                <w:szCs w:val="18"/>
                <w:lang w:val="nl-NL"/>
              </w:rPr>
              <w:softHyphen/>
              <w:t>schrifbriefje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Pr>
                <w:rFonts w:cs="Arial"/>
                <w:spacing w:val="-2"/>
                <w:sz w:val="18"/>
                <w:szCs w:val="18"/>
                <w:lang w:val="nl-NL"/>
              </w:rPr>
              <w:t>etaling en houdt de aan</w:t>
            </w:r>
            <w:r>
              <w:rPr>
                <w:rFonts w:cs="Arial"/>
                <w:spacing w:val="-2"/>
                <w:sz w:val="18"/>
                <w:szCs w:val="18"/>
                <w:lang w:val="nl-NL"/>
              </w:rPr>
              <w:softHyphen/>
              <w:t>koop</w:t>
            </w:r>
            <w:r>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r>
      <w:tr w:rsidR="00DC61D8" w:rsidRPr="00B115D4" w14:paraId="2938DF11" w14:textId="77777777" w:rsidTr="00B115D4">
        <w:trPr>
          <w:jc w:val="center"/>
        </w:trPr>
        <w:tc>
          <w:tcPr>
            <w:tcW w:w="726" w:type="dxa"/>
            <w:noWrap/>
            <w:tcMar>
              <w:left w:w="0" w:type="dxa"/>
              <w:right w:w="0" w:type="dxa"/>
            </w:tcMar>
          </w:tcPr>
          <w:p w14:paraId="66276EFE"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11D9E416"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6F0FE35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F91D8D9"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064647D7" w14:textId="77777777" w:rsidTr="00B115D4">
        <w:trPr>
          <w:jc w:val="center"/>
        </w:trPr>
        <w:tc>
          <w:tcPr>
            <w:tcW w:w="726" w:type="dxa"/>
            <w:noWrap/>
            <w:tcMar>
              <w:left w:w="0" w:type="dxa"/>
              <w:right w:w="0" w:type="dxa"/>
            </w:tcMar>
          </w:tcPr>
          <w:p w14:paraId="05D247AD"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F1469AC" w14:textId="11E67D30"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c>
          <w:tcPr>
            <w:tcW w:w="726" w:type="dxa"/>
            <w:noWrap/>
            <w:tcMar>
              <w:left w:w="0" w:type="dxa"/>
              <w:right w:w="0" w:type="dxa"/>
            </w:tcMar>
          </w:tcPr>
          <w:p w14:paraId="7D26E3AA"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57F8FE72" w14:textId="7484A466"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r>
      <w:tr w:rsidR="00DC61D8" w:rsidRPr="00B115D4" w14:paraId="11B5CF0E" w14:textId="77777777" w:rsidTr="00B115D4">
        <w:trPr>
          <w:jc w:val="center"/>
        </w:trPr>
        <w:tc>
          <w:tcPr>
            <w:tcW w:w="726" w:type="dxa"/>
            <w:noWrap/>
            <w:tcMar>
              <w:left w:w="0" w:type="dxa"/>
              <w:right w:w="0" w:type="dxa"/>
            </w:tcMar>
          </w:tcPr>
          <w:p w14:paraId="513EB03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6CFAEEC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71A7C02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B839346"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B115D4" w14:paraId="6BB851ED" w14:textId="77777777" w:rsidTr="00B115D4">
        <w:trPr>
          <w:jc w:val="center"/>
        </w:trPr>
        <w:tc>
          <w:tcPr>
            <w:tcW w:w="726" w:type="dxa"/>
            <w:noWrap/>
            <w:tcMar>
              <w:left w:w="0" w:type="dxa"/>
              <w:right w:w="0" w:type="dxa"/>
            </w:tcMar>
          </w:tcPr>
          <w:p w14:paraId="06D511C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3717898F" w14:textId="525D4752"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c>
          <w:tcPr>
            <w:tcW w:w="726" w:type="dxa"/>
            <w:noWrap/>
            <w:tcMar>
              <w:left w:w="0" w:type="dxa"/>
              <w:right w:w="0" w:type="dxa"/>
            </w:tcMar>
          </w:tcPr>
          <w:p w14:paraId="1D05085F"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4377" w:type="dxa"/>
            <w:tcMar>
              <w:left w:w="170" w:type="dxa"/>
              <w:right w:w="170" w:type="dxa"/>
            </w:tcMar>
          </w:tcPr>
          <w:p w14:paraId="651EDAAF" w14:textId="1FA3D132"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r w:rsidRPr="00794C21">
              <w:rPr>
                <w:rFonts w:cs="Arial"/>
                <w:spacing w:val="-2"/>
                <w:sz w:val="18"/>
                <w:szCs w:val="18"/>
                <w:lang w:val="nl-BE"/>
              </w:rPr>
              <w:t>Het model van het machtigingsat</w:t>
            </w:r>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r>
      <w:tr w:rsidR="00DC61D8" w:rsidRPr="00B115D4" w14:paraId="3FFC05B7" w14:textId="77777777" w:rsidTr="00B115D4">
        <w:trPr>
          <w:jc w:val="center"/>
        </w:trPr>
        <w:tc>
          <w:tcPr>
            <w:tcW w:w="726" w:type="dxa"/>
            <w:noWrap/>
            <w:tcMar>
              <w:left w:w="0" w:type="dxa"/>
              <w:right w:w="0" w:type="dxa"/>
            </w:tcMar>
          </w:tcPr>
          <w:p w14:paraId="192BCF96" w14:textId="77777777" w:rsidR="00DC61D8" w:rsidRPr="00B115D4" w:rsidRDefault="00DC61D8" w:rsidP="00DC61D8">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NL"/>
              </w:rPr>
            </w:pPr>
          </w:p>
        </w:tc>
        <w:tc>
          <w:tcPr>
            <w:tcW w:w="4377" w:type="dxa"/>
            <w:tcMar>
              <w:left w:w="170" w:type="dxa"/>
              <w:right w:w="170" w:type="dxa"/>
            </w:tcMar>
          </w:tcPr>
          <w:p w14:paraId="40C762EB" w14:textId="77777777" w:rsidR="00DC61D8" w:rsidRPr="00B115D4" w:rsidRDefault="00DC61D8" w:rsidP="00DC61D8">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726" w:type="dxa"/>
            <w:noWrap/>
            <w:tcMar>
              <w:left w:w="0" w:type="dxa"/>
              <w:right w:w="0" w:type="dxa"/>
            </w:tcMar>
          </w:tcPr>
          <w:p w14:paraId="3C2A9867"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NL"/>
              </w:rPr>
            </w:pPr>
          </w:p>
        </w:tc>
        <w:tc>
          <w:tcPr>
            <w:tcW w:w="4377" w:type="dxa"/>
            <w:tcMar>
              <w:left w:w="170" w:type="dxa"/>
              <w:right w:w="170" w:type="dxa"/>
            </w:tcMar>
          </w:tcPr>
          <w:p w14:paraId="492588C0" w14:textId="77777777" w:rsidR="00DC61D8" w:rsidRPr="00B115D4" w:rsidRDefault="00DC61D8" w:rsidP="00DC61D8">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NL"/>
              </w:rPr>
            </w:pPr>
          </w:p>
        </w:tc>
      </w:tr>
      <w:tr w:rsidR="00DC61D8" w:rsidRPr="007117F9" w14:paraId="7F08847A" w14:textId="77777777" w:rsidTr="00B115D4">
        <w:trPr>
          <w:jc w:val="center"/>
        </w:trPr>
        <w:tc>
          <w:tcPr>
            <w:tcW w:w="5103" w:type="dxa"/>
            <w:gridSpan w:val="2"/>
            <w:tcMar>
              <w:left w:w="170" w:type="dxa"/>
              <w:right w:w="170" w:type="dxa"/>
            </w:tcMar>
          </w:tcPr>
          <w:p w14:paraId="427420C3" w14:textId="5C3E951B" w:rsidR="00DC61D8" w:rsidRPr="007117F9" w:rsidRDefault="00DC61D8" w:rsidP="00DC61D8">
            <w:pPr>
              <w:tabs>
                <w:tab w:val="center" w:pos="2197"/>
              </w:tabs>
              <w:jc w:val="center"/>
              <w:rPr>
                <w:rFonts w:cs="Arial"/>
                <w:spacing w:val="-2"/>
                <w:sz w:val="18"/>
                <w:szCs w:val="18"/>
                <w:lang w:val="nl-NL"/>
              </w:rPr>
            </w:pPr>
            <w:r w:rsidRPr="007117F9">
              <w:rPr>
                <w:rFonts w:cs="Arial"/>
                <w:b/>
                <w:spacing w:val="-2"/>
                <w:sz w:val="18"/>
                <w:szCs w:val="18"/>
                <w:lang w:val="nl-NL"/>
              </w:rPr>
              <w:t xml:space="preserve">2 - </w:t>
            </w:r>
            <w:r w:rsidRPr="007117F9">
              <w:rPr>
                <w:rFonts w:cs="Arial"/>
                <w:b/>
                <w:spacing w:val="-2"/>
                <w:sz w:val="18"/>
                <w:szCs w:val="18"/>
                <w:lang w:val="nl-NL"/>
              </w:rPr>
              <w:t>Conditions spécifiques</w:t>
            </w:r>
          </w:p>
        </w:tc>
        <w:tc>
          <w:tcPr>
            <w:tcW w:w="5103" w:type="dxa"/>
            <w:gridSpan w:val="2"/>
            <w:tcMar>
              <w:left w:w="170" w:type="dxa"/>
              <w:right w:w="170" w:type="dxa"/>
            </w:tcMar>
          </w:tcPr>
          <w:p w14:paraId="7C19A62A" w14:textId="1D2980CA" w:rsidR="00DC61D8" w:rsidRPr="007117F9" w:rsidRDefault="00DC61D8" w:rsidP="00DC61D8">
            <w:pPr>
              <w:tabs>
                <w:tab w:val="center" w:pos="2197"/>
              </w:tabs>
              <w:jc w:val="center"/>
              <w:rPr>
                <w:rFonts w:cs="Arial"/>
                <w:b/>
                <w:spacing w:val="-2"/>
                <w:sz w:val="18"/>
                <w:szCs w:val="18"/>
                <w:lang w:val="nl-NL"/>
              </w:rPr>
            </w:pPr>
            <w:r w:rsidRPr="007117F9">
              <w:rPr>
                <w:rFonts w:cs="Arial"/>
                <w:b/>
                <w:spacing w:val="-2"/>
                <w:sz w:val="18"/>
                <w:szCs w:val="18"/>
                <w:lang w:val="nl-NL"/>
              </w:rPr>
              <w:t xml:space="preserve">2 - </w:t>
            </w:r>
            <w:r w:rsidRPr="007117F9">
              <w:rPr>
                <w:rFonts w:cs="Arial"/>
                <w:b/>
                <w:spacing w:val="-2"/>
                <w:sz w:val="18"/>
                <w:szCs w:val="18"/>
                <w:lang w:val="nl-NL"/>
              </w:rPr>
              <w:t>Specifieke voorwaarden</w:t>
            </w:r>
          </w:p>
        </w:tc>
      </w:tr>
      <w:tr w:rsidR="00DC61D8" w:rsidRPr="007117F9" w14:paraId="604FFBE4" w14:textId="77777777" w:rsidTr="00B115D4">
        <w:trPr>
          <w:jc w:val="center"/>
        </w:trPr>
        <w:tc>
          <w:tcPr>
            <w:tcW w:w="5103" w:type="dxa"/>
            <w:gridSpan w:val="2"/>
            <w:tcMar>
              <w:left w:w="170" w:type="dxa"/>
              <w:right w:w="170" w:type="dxa"/>
            </w:tcMar>
          </w:tcPr>
          <w:p w14:paraId="04CF39D4" w14:textId="77777777" w:rsidR="00DC61D8" w:rsidRPr="007117F9" w:rsidRDefault="00DC61D8" w:rsidP="00DC61D8">
            <w:pPr>
              <w:tabs>
                <w:tab w:val="center" w:pos="2197"/>
              </w:tabs>
              <w:jc w:val="both"/>
              <w:rPr>
                <w:rFonts w:cs="Arial"/>
                <w:b/>
                <w:spacing w:val="-2"/>
                <w:sz w:val="18"/>
                <w:szCs w:val="18"/>
                <w:lang w:val="fr-FR"/>
              </w:rPr>
            </w:pPr>
          </w:p>
        </w:tc>
        <w:tc>
          <w:tcPr>
            <w:tcW w:w="5103" w:type="dxa"/>
            <w:gridSpan w:val="2"/>
            <w:tcMar>
              <w:left w:w="170" w:type="dxa"/>
              <w:right w:w="170" w:type="dxa"/>
            </w:tcMar>
          </w:tcPr>
          <w:p w14:paraId="1CEA3716" w14:textId="77777777" w:rsidR="00DC61D8" w:rsidRPr="007117F9" w:rsidRDefault="00DC61D8" w:rsidP="00DC61D8">
            <w:pPr>
              <w:tabs>
                <w:tab w:val="center" w:pos="2197"/>
              </w:tabs>
              <w:jc w:val="both"/>
              <w:rPr>
                <w:rFonts w:cs="Arial"/>
                <w:b/>
                <w:spacing w:val="-2"/>
                <w:sz w:val="18"/>
                <w:szCs w:val="18"/>
                <w:lang w:val="nl-NL"/>
              </w:rPr>
            </w:pPr>
          </w:p>
        </w:tc>
      </w:tr>
    </w:tbl>
    <w:p w14:paraId="4B5CC7BC" w14:textId="77777777" w:rsidR="00541198" w:rsidRPr="00B115D4" w:rsidRDefault="00541198">
      <w:pPr>
        <w:rPr>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B115D4"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deling van een patiënt met akute 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r w:rsidRPr="00EB40A9">
              <w:rPr>
                <w:b/>
                <w:sz w:val="18"/>
                <w:szCs w:val="18"/>
              </w:rPr>
              <w:t>Categ.</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r w:rsidRPr="00EB40A9">
              <w:rPr>
                <w:b/>
                <w:sz w:val="18"/>
                <w:szCs w:val="18"/>
              </w:rPr>
              <w:t>Benaming</w:t>
            </w:r>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r w:rsidRPr="00EB40A9">
              <w:rPr>
                <w:b/>
                <w:sz w:val="18"/>
                <w:szCs w:val="18"/>
              </w:rPr>
              <w:t>Eenheden beoogd sub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r w:rsidRPr="00EB40A9">
              <w:rPr>
                <w:b/>
                <w:sz w:val="18"/>
                <w:szCs w:val="18"/>
              </w:rPr>
              <w:t>Catég.</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r w:rsidRPr="00EB40A9">
              <w:rPr>
                <w:spacing w:val="-2"/>
                <w:sz w:val="18"/>
                <w:szCs w:val="18"/>
              </w:rPr>
              <w:t>vial inj.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r w:rsidRPr="009C1387">
              <w:rPr>
                <w:spacing w:val="-2"/>
                <w:sz w:val="18"/>
                <w:szCs w:val="18"/>
                <w:lang w:val="fr-FR"/>
              </w:rPr>
              <w:t>pr. vial inj.à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1 vial</w:t>
            </w:r>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r w:rsidRPr="009C1387">
              <w:rPr>
                <w:spacing w:val="-2"/>
                <w:sz w:val="18"/>
                <w:szCs w:val="18"/>
                <w:lang w:val="fr-FR"/>
              </w:rPr>
              <w:t>pr. vial inj.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ling van aku</w:t>
            </w:r>
            <w:r w:rsidRPr="007117F9">
              <w:rPr>
                <w:rFonts w:cs="Arial"/>
                <w:spacing w:val="-2"/>
                <w:sz w:val="18"/>
                <w:szCs w:val="18"/>
                <w:lang w:val="nl-NL"/>
              </w:rPr>
              <w:softHyphen/>
              <w:t>te myeloïde leu</w:t>
            </w:r>
            <w:r w:rsidRPr="007117F9">
              <w:rPr>
                <w:rFonts w:cs="Arial"/>
                <w:spacing w:val="-2"/>
                <w:sz w:val="18"/>
                <w:szCs w:val="18"/>
                <w:lang w:val="nl-NL"/>
              </w:rPr>
              <w:softHyphen/>
              <w:t>ke</w:t>
            </w:r>
            <w:r w:rsidRPr="007117F9">
              <w:rPr>
                <w:rFonts w:cs="Arial"/>
                <w:spacing w:val="-2"/>
                <w:sz w:val="18"/>
                <w:szCs w:val="18"/>
                <w:lang w:val="nl-NL"/>
              </w:rPr>
              <w:softHyphen/>
              <w:t>miën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r w:rsidRPr="00817A6A">
              <w:rPr>
                <w:rFonts w:cs="Arial"/>
                <w:b/>
                <w:sz w:val="18"/>
                <w:szCs w:val="18"/>
              </w:rPr>
              <w:t>Benaming</w:t>
            </w:r>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fl. inj.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fl. inj.</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contra-indikatie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r w:rsidRPr="00817A6A">
              <w:rPr>
                <w:rFonts w:cs="Arial"/>
                <w:b/>
                <w:sz w:val="18"/>
                <w:szCs w:val="18"/>
              </w:rPr>
              <w:t>Benaming</w:t>
            </w:r>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fl. inj.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r w:rsidRPr="00817A6A">
              <w:rPr>
                <w:rFonts w:cs="Arial"/>
                <w:b/>
                <w:sz w:val="18"/>
                <w:szCs w:val="18"/>
              </w:rPr>
              <w:t>Benaming</w:t>
            </w:r>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fl. inj.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PlainText"/>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ciatie met andere fungo</w:t>
            </w:r>
            <w:r w:rsidRPr="007117F9">
              <w:rPr>
                <w:rFonts w:cs="Arial"/>
                <w:spacing w:val="-2"/>
                <w:sz w:val="18"/>
                <w:szCs w:val="18"/>
                <w:lang w:val="nl-NL"/>
              </w:rPr>
              <w:softHyphen/>
              <w:t>statica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cryptococcose;</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la cryptococcose;</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cerebro-meningeale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cérébro-méningée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ernstige systemische mycosen, veroor</w:t>
            </w:r>
            <w:r w:rsidRPr="007117F9">
              <w:rPr>
                <w:rFonts w:cs="Arial"/>
                <w:spacing w:val="-2"/>
                <w:sz w:val="18"/>
                <w:szCs w:val="18"/>
                <w:lang w:val="nl-NL"/>
              </w:rPr>
              <w:softHyphen/>
              <w:t>zaakt door gevoelige kiemen, waarvoor de klassieke therapeuti</w:t>
            </w:r>
            <w:r w:rsidRPr="007117F9">
              <w:rPr>
                <w:rFonts w:cs="Arial"/>
                <w:spacing w:val="-2"/>
                <w:sz w:val="18"/>
                <w:szCs w:val="18"/>
                <w:lang w:val="nl-NL"/>
              </w:rPr>
              <w:softHyphen/>
              <w:t>ca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r w:rsidRPr="00817A6A">
              <w:rPr>
                <w:rFonts w:cs="Arial"/>
                <w:sz w:val="18"/>
                <w:szCs w:val="18"/>
                <w:lang w:val="fr-FR"/>
              </w:rPr>
              <w:t>compr.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r w:rsidRPr="00817A6A">
              <w:rPr>
                <w:rFonts w:cs="Arial"/>
                <w:sz w:val="18"/>
                <w:szCs w:val="18"/>
                <w:lang w:val="fr-FR"/>
              </w:rPr>
              <w:t>pr. compr.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100 compr.</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r w:rsidRPr="00817A6A">
              <w:rPr>
                <w:rFonts w:cs="Arial"/>
                <w:sz w:val="18"/>
                <w:szCs w:val="18"/>
                <w:lang w:val="fr-FR"/>
              </w:rPr>
              <w:t>pr. compr.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sol. inj. 250 m</w:t>
            </w:r>
            <w:r w:rsidR="00501395">
              <w:rPr>
                <w:rFonts w:cs="Arial"/>
                <w:sz w:val="18"/>
                <w:szCs w:val="18"/>
                <w:lang w:val="fr-FR"/>
              </w:rPr>
              <w:t>L</w:t>
            </w:r>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BodyTex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pan</w:t>
            </w:r>
            <w:r w:rsidRPr="007117F9">
              <w:rPr>
                <w:rFonts w:cs="Arial"/>
                <w:spacing w:val="-2"/>
                <w:sz w:val="18"/>
                <w:szCs w:val="18"/>
                <w:lang w:val="nl-NL"/>
              </w:rPr>
              <w:softHyphen/>
              <w:t>creatische (insulo</w:t>
            </w:r>
            <w:r w:rsidRPr="007117F9">
              <w:rPr>
                <w:rFonts w:cs="Arial"/>
                <w:spacing w:val="-2"/>
                <w:sz w:val="18"/>
                <w:szCs w:val="18"/>
                <w:lang w:val="nl-NL"/>
              </w:rPr>
              <w:softHyphen/>
              <w:t>om) of extra</w:t>
            </w:r>
            <w:r w:rsidRPr="007117F9">
              <w:rPr>
                <w:rFonts w:cs="Arial"/>
                <w:spacing w:val="-2"/>
                <w:sz w:val="18"/>
                <w:szCs w:val="18"/>
                <w:lang w:val="nl-NL"/>
              </w:rPr>
              <w:softHyphen/>
              <w:t>pancreati</w:t>
            </w:r>
            <w:r w:rsidRPr="007117F9">
              <w:rPr>
                <w:rFonts w:cs="Arial"/>
                <w:spacing w:val="-2"/>
                <w:sz w:val="18"/>
                <w:szCs w:val="18"/>
                <w:lang w:val="nl-NL"/>
              </w:rPr>
              <w:softHyphen/>
              <w:t>sche tumo</w:t>
            </w:r>
            <w:r w:rsidRPr="007117F9">
              <w:rPr>
                <w:rFonts w:cs="Arial"/>
                <w:spacing w:val="-2"/>
                <w:sz w:val="18"/>
                <w:szCs w:val="18"/>
                <w:lang w:val="nl-NL"/>
              </w:rPr>
              <w:softHyphen/>
              <w:t>rale hypogly</w:t>
            </w:r>
            <w:r w:rsidRPr="007117F9">
              <w:rPr>
                <w:rFonts w:cs="Arial"/>
                <w:spacing w:val="-2"/>
                <w:sz w:val="18"/>
                <w:szCs w:val="18"/>
                <w:lang w:val="nl-NL"/>
              </w:rPr>
              <w:softHyphen/>
              <w:t>cemieën.</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(insulinome) ou extrapan</w:t>
            </w:r>
            <w:r w:rsidRPr="007117F9">
              <w:rPr>
                <w:rFonts w:cs="Arial"/>
                <w:spacing w:val="-2"/>
                <w:sz w:val="18"/>
                <w:szCs w:val="18"/>
                <w:lang w:val="fr-FR"/>
              </w:rPr>
              <w:softHyphen/>
              <w:t>créatiques.</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r w:rsidRPr="00817A6A">
              <w:rPr>
                <w:rFonts w:cs="Arial"/>
                <w:b/>
                <w:sz w:val="18"/>
                <w:szCs w:val="18"/>
              </w:rPr>
              <w:t>Benaming</w:t>
            </w:r>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r w:rsidRPr="00817A6A">
              <w:rPr>
                <w:rFonts w:cs="Arial"/>
                <w:spacing w:val="-2"/>
                <w:sz w:val="18"/>
                <w:szCs w:val="18"/>
                <w:lang w:val="fr-FR"/>
              </w:rPr>
              <w:t>pr.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r w:rsidRPr="00817A6A">
              <w:rPr>
                <w:rFonts w:cs="Arial"/>
                <w:spacing w:val="-2"/>
                <w:sz w:val="18"/>
                <w:szCs w:val="18"/>
                <w:lang w:val="fr-FR"/>
              </w:rPr>
              <w:t>pr.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teld en waarin, onder</w:t>
            </w:r>
            <w:r w:rsidRPr="007117F9">
              <w:rPr>
                <w:rFonts w:cs="Arial"/>
                <w:spacing w:val="-2"/>
                <w:sz w:val="18"/>
                <w:szCs w:val="18"/>
                <w:lang w:val="nl-NL"/>
              </w:rPr>
              <w:softHyphen/>
              <w:t>meer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r w:rsidRPr="00817A6A">
              <w:rPr>
                <w:rFonts w:cs="Arial"/>
                <w:sz w:val="18"/>
                <w:szCs w:val="18"/>
                <w:lang w:val="fr-FR"/>
              </w:rPr>
              <w:t>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r w:rsidRPr="00817A6A">
              <w:rPr>
                <w:rFonts w:cs="Arial"/>
                <w:sz w:val="18"/>
                <w:szCs w:val="18"/>
              </w:rPr>
              <w:t>amp.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par fl. 250 m</w:t>
            </w:r>
            <w:r w:rsidR="00501395">
              <w:rPr>
                <w:rFonts w:cs="Arial"/>
                <w:sz w:val="18"/>
                <w:szCs w:val="18"/>
              </w:rPr>
              <w:t>L</w:t>
            </w:r>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r w:rsidRPr="00817A6A">
              <w:rPr>
                <w:rFonts w:cs="Arial"/>
                <w:spacing w:val="-2"/>
                <w:sz w:val="18"/>
                <w:szCs w:val="18"/>
              </w:rPr>
              <w:t>compr.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r w:rsidRPr="00817A6A">
              <w:rPr>
                <w:rFonts w:cs="Arial"/>
                <w:spacing w:val="-2"/>
                <w:sz w:val="18"/>
                <w:szCs w:val="18"/>
              </w:rPr>
              <w:t>pr. compr.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10 compr.</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r w:rsidRPr="00817A6A">
              <w:rPr>
                <w:rFonts w:cs="Arial"/>
                <w:spacing w:val="-2"/>
                <w:sz w:val="18"/>
                <w:szCs w:val="18"/>
              </w:rPr>
              <w:t>pr. compr.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sir. 80 m</w:t>
            </w:r>
            <w:r w:rsidR="00501395">
              <w:rPr>
                <w:rFonts w:cs="Arial"/>
                <w:spacing w:val="-2"/>
                <w:sz w:val="18"/>
                <w:szCs w:val="18"/>
              </w:rPr>
              <w:t>L</w:t>
            </w:r>
            <w:r w:rsidRPr="00817A6A">
              <w:rPr>
                <w:rFonts w:cs="Arial"/>
                <w:spacing w:val="-2"/>
                <w:sz w:val="18"/>
                <w:szCs w:val="18"/>
              </w:rPr>
              <w:t xml:space="preserve">  250.000 U./5 m</w:t>
            </w:r>
            <w:r w:rsidR="00501395">
              <w:rPr>
                <w:rFonts w:cs="Arial"/>
                <w:spacing w:val="-2"/>
                <w:sz w:val="18"/>
                <w:szCs w:val="18"/>
              </w:rPr>
              <w:t>L</w:t>
            </w:r>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sir. 80 m</w:t>
            </w:r>
            <w:r w:rsidR="00501395">
              <w:rPr>
                <w:rFonts w:cs="Arial"/>
                <w:spacing w:val="-2"/>
                <w:sz w:val="18"/>
                <w:szCs w:val="18"/>
              </w:rPr>
              <w:t>L</w:t>
            </w:r>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pheochromocytoom.</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tussen drie maand en 18 jaar leeftijd met corticosteroid-afhankelijk of corticosteroid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teint du syndrome néphrotique corticodépendant ou corticorésistant.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r w:rsidRPr="00817A6A">
              <w:rPr>
                <w:rFonts w:cs="Arial"/>
                <w:spacing w:val="-2"/>
                <w:sz w:val="18"/>
                <w:szCs w:val="18"/>
                <w:lang w:val="fr-FR"/>
              </w:rPr>
              <w:t>compr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r w:rsidRPr="00817A6A">
              <w:rPr>
                <w:rFonts w:cs="Arial"/>
                <w:spacing w:val="-2"/>
                <w:sz w:val="18"/>
                <w:szCs w:val="18"/>
                <w:lang w:val="fr-FR"/>
              </w:rPr>
              <w:t>pr. compr.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20 compr.</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r w:rsidRPr="00817A6A">
              <w:rPr>
                <w:rFonts w:cs="Arial"/>
                <w:spacing w:val="-2"/>
                <w:sz w:val="18"/>
                <w:szCs w:val="18"/>
                <w:lang w:val="fr-FR"/>
              </w:rPr>
              <w:t>pr. compr.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r w:rsidRPr="00817A6A">
              <w:rPr>
                <w:rFonts w:cs="Arial"/>
                <w:sz w:val="18"/>
                <w:szCs w:val="18"/>
              </w:rPr>
              <w:t>pr. vial inj.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12 vials</w:t>
            </w:r>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r w:rsidRPr="00817A6A">
              <w:rPr>
                <w:rFonts w:cs="Arial"/>
                <w:sz w:val="18"/>
                <w:szCs w:val="18"/>
              </w:rPr>
              <w:t>pr. vial inj.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(rolandisch)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r w:rsidRPr="00817A6A">
              <w:rPr>
                <w:rFonts w:cs="Arial"/>
                <w:b/>
                <w:sz w:val="18"/>
                <w:szCs w:val="18"/>
              </w:rPr>
              <w:t>Categ.</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r w:rsidRPr="00817A6A">
              <w:rPr>
                <w:rFonts w:cs="Arial"/>
                <w:b/>
                <w:sz w:val="18"/>
                <w:szCs w:val="18"/>
              </w:rPr>
              <w:t>Benaming</w:t>
            </w:r>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r w:rsidRPr="00817A6A">
              <w:rPr>
                <w:rFonts w:cs="Arial"/>
                <w:b/>
                <w:sz w:val="18"/>
                <w:szCs w:val="18"/>
              </w:rPr>
              <w:t>Catég.</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r w:rsidRPr="00817A6A">
              <w:rPr>
                <w:rFonts w:cs="Arial"/>
                <w:b/>
                <w:sz w:val="18"/>
                <w:szCs w:val="18"/>
                <w:lang w:val="nl-NL"/>
              </w:rPr>
              <w:t>Unités visées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r w:rsidRPr="00817A6A">
              <w:rPr>
                <w:rFonts w:cs="Arial"/>
                <w:spacing w:val="-2"/>
                <w:sz w:val="18"/>
                <w:szCs w:val="18"/>
                <w:lang w:val="fr-FR"/>
              </w:rPr>
              <w:t>compr.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r w:rsidRPr="00817A6A">
              <w:rPr>
                <w:rFonts w:cs="Arial"/>
                <w:spacing w:val="-2"/>
                <w:sz w:val="18"/>
                <w:szCs w:val="18"/>
                <w:lang w:val="fr-FR"/>
              </w:rPr>
              <w:t>pr. compr.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r w:rsidRPr="00817A6A">
              <w:rPr>
                <w:rFonts w:cs="Arial"/>
                <w:spacing w:val="-2"/>
                <w:sz w:val="18"/>
                <w:szCs w:val="18"/>
                <w:lang w:val="fr-FR"/>
              </w:rPr>
              <w:t>pr. compr.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r w:rsidRPr="00817A6A">
              <w:rPr>
                <w:rFonts w:cs="Arial"/>
                <w:spacing w:val="-2"/>
                <w:sz w:val="18"/>
                <w:szCs w:val="18"/>
                <w:lang w:val="fr-FR"/>
              </w:rPr>
              <w:t>compr.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r w:rsidRPr="00817A6A">
              <w:rPr>
                <w:rFonts w:cs="Arial"/>
                <w:spacing w:val="-2"/>
                <w:sz w:val="18"/>
                <w:szCs w:val="18"/>
                <w:lang w:val="fr-FR"/>
              </w:rPr>
              <w:t>pr. compr.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r w:rsidRPr="00817A6A">
              <w:rPr>
                <w:rFonts w:cs="Arial"/>
                <w:spacing w:val="-2"/>
                <w:sz w:val="18"/>
                <w:szCs w:val="18"/>
                <w:lang w:val="fr-FR"/>
              </w:rPr>
              <w:t>pr. compr.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B115D4"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ou porteur du titre professionnel particulier en oncologie médicale selon l’arrêté ministriel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geneeskune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of drager van de bijzondere beroepstitel in de medische oncologie volgens het ministrieel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B115D4"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myélomes multiples;</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lymphomes hodgkiniens;</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Non-Hodgkin lymfoom;</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mélanomes.</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r w:rsidRPr="00817A6A">
              <w:rPr>
                <w:rFonts w:cs="Arial"/>
                <w:b/>
                <w:sz w:val="18"/>
                <w:szCs w:val="18"/>
              </w:rPr>
              <w:t>Categ.</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r w:rsidRPr="00817A6A">
              <w:rPr>
                <w:rFonts w:cs="Arial"/>
                <w:b/>
                <w:sz w:val="18"/>
                <w:szCs w:val="18"/>
              </w:rPr>
              <w:t>Benaming</w:t>
            </w:r>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r w:rsidRPr="00817A6A">
              <w:rPr>
                <w:rFonts w:cs="Arial"/>
                <w:b/>
                <w:sz w:val="18"/>
                <w:szCs w:val="18"/>
              </w:rPr>
              <w:t>Catég.</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r w:rsidRPr="00817A6A">
              <w:rPr>
                <w:rFonts w:cs="Arial"/>
                <w:b/>
                <w:sz w:val="18"/>
                <w:szCs w:val="18"/>
                <w:lang w:val="nl-NL"/>
              </w:rPr>
              <w:t>Unités visées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rose op een evolutieve postnecroti</w:t>
            </w:r>
            <w:r w:rsidRPr="00232747">
              <w:rPr>
                <w:rFonts w:cs="Arial"/>
                <w:sz w:val="18"/>
                <w:szCs w:val="18"/>
                <w:lang w:val="nl-NL"/>
              </w:rPr>
              <w:softHyphen/>
              <w:t>sche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titis fulmi</w:t>
            </w:r>
            <w:r w:rsidRPr="00232747">
              <w:rPr>
                <w:rFonts w:cs="Arial"/>
                <w:sz w:val="18"/>
                <w:szCs w:val="18"/>
                <w:lang w:val="nl-NL"/>
              </w:rPr>
              <w:softHyphen/>
              <w:t>nans,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r w:rsidRPr="00817A6A">
              <w:rPr>
                <w:rFonts w:cs="Arial"/>
                <w:b/>
                <w:sz w:val="18"/>
                <w:szCs w:val="18"/>
              </w:rPr>
              <w:t>Categ.</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r w:rsidRPr="00817A6A">
              <w:rPr>
                <w:rFonts w:cs="Arial"/>
                <w:b/>
                <w:sz w:val="18"/>
                <w:szCs w:val="18"/>
              </w:rPr>
              <w:t>Benaming</w:t>
            </w:r>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r w:rsidRPr="00817A6A">
              <w:rPr>
                <w:rFonts w:cs="Arial"/>
                <w:b/>
                <w:sz w:val="18"/>
                <w:szCs w:val="18"/>
              </w:rPr>
              <w:t>Catég.</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r w:rsidRPr="00817A6A">
              <w:rPr>
                <w:rFonts w:cs="Arial"/>
                <w:b/>
                <w:sz w:val="18"/>
                <w:szCs w:val="18"/>
                <w:lang w:val="nl-NL"/>
              </w:rPr>
              <w:t>Unités visées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r w:rsidRPr="00817A6A">
              <w:rPr>
                <w:rFonts w:cs="Arial"/>
                <w:spacing w:val="-2"/>
                <w:sz w:val="18"/>
                <w:szCs w:val="18"/>
                <w:lang w:val="fr-FR"/>
              </w:rPr>
              <w:t>amp.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79EEED77" w14:textId="77777777" w:rsidR="00856C44" w:rsidRPr="00817A6A" w:rsidRDefault="003C465A" w:rsidP="00817A6A">
            <w:pPr>
              <w:jc w:val="center"/>
              <w:rPr>
                <w:rFonts w:cs="Arial"/>
                <w:sz w:val="18"/>
                <w:szCs w:val="18"/>
              </w:rPr>
            </w:pPr>
            <w:r w:rsidRPr="00817A6A">
              <w:rPr>
                <w:rFonts w:cs="Arial"/>
                <w:spacing w:val="-2"/>
                <w:sz w:val="18"/>
                <w:szCs w:val="18"/>
                <w:lang w:val="fr-FR"/>
              </w:rPr>
              <w:t>amp.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BodyTex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BodyTex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BodyText"/>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BodyTex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t>tengevolge van behandeling met vers bevroren plasma per primam intentionem, vertoont de patiënt een onvoldoende gehalte aan factor XI of de bloeding persisteert, of in een andere situatie, riskeert de patiënt een volume-overbelasting tengevolge van meerdere infusen van vers bevroren plasma zoals bvb.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BodyTex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BodyTex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r w:rsidRPr="00817A6A">
              <w:rPr>
                <w:rFonts w:cs="Arial"/>
                <w:b/>
                <w:sz w:val="18"/>
                <w:szCs w:val="18"/>
              </w:rPr>
              <w:t>Categ.</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r w:rsidRPr="00817A6A">
              <w:rPr>
                <w:rFonts w:cs="Arial"/>
                <w:b/>
                <w:sz w:val="18"/>
                <w:szCs w:val="18"/>
              </w:rPr>
              <w:t>Benaming</w:t>
            </w:r>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r w:rsidRPr="00817A6A">
              <w:rPr>
                <w:rFonts w:cs="Arial"/>
                <w:b/>
                <w:sz w:val="18"/>
                <w:szCs w:val="18"/>
              </w:rPr>
              <w:t>Catég.</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r w:rsidRPr="00817A6A">
              <w:rPr>
                <w:rFonts w:cs="Arial"/>
                <w:b/>
                <w:sz w:val="18"/>
                <w:szCs w:val="18"/>
                <w:lang w:val="nl-NL"/>
              </w:rPr>
              <w:t>Unités visées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1000 IU poeder voor oplossing voor injectie + 10 m</w:t>
            </w:r>
            <w:r w:rsidR="00501395">
              <w:rPr>
                <w:rFonts w:cs="Arial"/>
                <w:sz w:val="18"/>
                <w:szCs w:val="18"/>
                <w:lang w:val="nl-NL"/>
              </w:rPr>
              <w:t>L</w:t>
            </w:r>
            <w:r w:rsidRPr="00817A6A">
              <w:rPr>
                <w:rFonts w:cs="Arial"/>
                <w:sz w:val="18"/>
                <w:szCs w:val="18"/>
                <w:lang w:val="nl-NL"/>
              </w:rPr>
              <w:t xml:space="preserve"> oplosmiddel voor oplossing voor injectie (water PPI), 100 UI</w:t>
            </w:r>
            <w:r w:rsidR="00501395">
              <w:rPr>
                <w:rFonts w:cs="Arial"/>
                <w:sz w:val="18"/>
                <w:szCs w:val="18"/>
                <w:lang w:val="nl-NL"/>
              </w:rPr>
              <w:t>/mL</w:t>
            </w:r>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1000 UI poudre pour solution injectable + 10 m</w:t>
            </w:r>
            <w:r w:rsidR="00501395">
              <w:rPr>
                <w:rFonts w:cs="Arial"/>
                <w:sz w:val="18"/>
                <w:szCs w:val="18"/>
                <w:lang w:val="fr-FR"/>
              </w:rPr>
              <w:t>L</w:t>
            </w:r>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/mL</w:t>
            </w:r>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BodyText"/>
              <w:jc w:val="both"/>
              <w:rPr>
                <w:rFonts w:cs="Arial"/>
                <w:sz w:val="18"/>
                <w:szCs w:val="18"/>
                <w:lang w:val="nl-BE"/>
              </w:rPr>
            </w:pPr>
            <w:r w:rsidRPr="009861E5">
              <w:rPr>
                <w:rFonts w:cs="Arial"/>
                <w:sz w:val="18"/>
                <w:szCs w:val="18"/>
                <w:lang w:val="nl-BE"/>
              </w:rPr>
              <w:t>Het hierna volgende preparaat mag worden vergoed op grond van een omstandig verslag dat aantoont dat het diagnosticum protireline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BodyText"/>
              <w:jc w:val="both"/>
              <w:rPr>
                <w:rFonts w:cs="Arial"/>
                <w:sz w:val="18"/>
                <w:szCs w:val="18"/>
              </w:rPr>
            </w:pPr>
            <w:r w:rsidRPr="009861E5">
              <w:rPr>
                <w:rFonts w:cs="Arial"/>
                <w:sz w:val="18"/>
                <w:szCs w:val="18"/>
              </w:rPr>
              <w:t>La préparation suivante peut être remboursée sur base d'un rapport circonstancié démontrant que l’agent diagnostique protiréline a été utilisé dans l’exploration de l’axe hypothalamo-hypophyso-thyroïdien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BodyText"/>
              <w:spacing w:after="0"/>
              <w:jc w:val="both"/>
              <w:rPr>
                <w:rFonts w:cs="Arial"/>
                <w:sz w:val="18"/>
                <w:szCs w:val="18"/>
                <w:lang w:val="nl-BE"/>
              </w:rPr>
            </w:pPr>
            <w:r w:rsidRPr="00FF24D6">
              <w:rPr>
                <w:rFonts w:cs="Arial"/>
                <w:sz w:val="18"/>
                <w:szCs w:val="18"/>
                <w:lang w:val="nl-BE"/>
              </w:rPr>
              <w:t>Maximaal is 500 µg protireline of thyrotropin releasing hormone of thyroliberine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BodyText"/>
              <w:spacing w:after="0"/>
              <w:jc w:val="both"/>
              <w:rPr>
                <w:rFonts w:cs="Arial"/>
                <w:sz w:val="18"/>
                <w:szCs w:val="18"/>
                <w:lang w:val="fr-FR"/>
              </w:rPr>
            </w:pPr>
            <w:r w:rsidRPr="009861E5">
              <w:rPr>
                <w:rFonts w:cs="Arial"/>
                <w:sz w:val="18"/>
                <w:szCs w:val="18"/>
              </w:rPr>
              <w:t>La dose maximale remboursable est de 500 µg de protiréline ou thyrotropin releasing hormone ou thyrolibérine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r w:rsidRPr="00817A6A">
              <w:rPr>
                <w:rFonts w:cs="Arial"/>
                <w:b/>
                <w:sz w:val="18"/>
                <w:szCs w:val="18"/>
              </w:rPr>
              <w:t>Categ.</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r w:rsidRPr="00817A6A">
              <w:rPr>
                <w:rFonts w:cs="Arial"/>
                <w:b/>
                <w:sz w:val="18"/>
                <w:szCs w:val="18"/>
              </w:rPr>
              <w:t>Benaming</w:t>
            </w:r>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r w:rsidRPr="00817A6A">
              <w:rPr>
                <w:rFonts w:cs="Arial"/>
                <w:b/>
                <w:sz w:val="18"/>
                <w:szCs w:val="18"/>
              </w:rPr>
              <w:t>Catég.</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r w:rsidRPr="00817A6A">
              <w:rPr>
                <w:rFonts w:cs="Arial"/>
                <w:b/>
                <w:sz w:val="18"/>
                <w:szCs w:val="18"/>
                <w:lang w:val="nl-NL"/>
              </w:rPr>
              <w:t>Unités visées sous 1-2°</w:t>
            </w:r>
          </w:p>
        </w:tc>
      </w:tr>
      <w:tr w:rsidR="009861E5" w:rsidRPr="00B115D4" w14:paraId="6E17E7BE" w14:textId="77777777" w:rsidTr="00817A6A">
        <w:trPr>
          <w:jc w:val="center"/>
        </w:trPr>
        <w:tc>
          <w:tcPr>
            <w:tcW w:w="8260" w:type="dxa"/>
            <w:gridSpan w:val="4"/>
          </w:tcPr>
          <w:p w14:paraId="30E220FA" w14:textId="5DF8934E"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(ATC : L01AD01)</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fl. inj.</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fl. inj.</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BodyTex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(baclofen, tizanidine)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BodyTex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(baclofen, tizanidine),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r w:rsidRPr="00126090">
              <w:rPr>
                <w:rFonts w:cs="Arial"/>
                <w:b/>
                <w:sz w:val="18"/>
                <w:szCs w:val="18"/>
              </w:rPr>
              <w:t>Categ.</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r w:rsidRPr="00126090">
              <w:rPr>
                <w:rFonts w:cs="Arial"/>
                <w:b/>
                <w:sz w:val="18"/>
                <w:szCs w:val="18"/>
              </w:rPr>
              <w:t>Benaming</w:t>
            </w:r>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r w:rsidRPr="00126090">
              <w:rPr>
                <w:rFonts w:cs="Arial"/>
                <w:b/>
                <w:sz w:val="18"/>
                <w:szCs w:val="18"/>
              </w:rPr>
              <w:t>Catég.</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r w:rsidRPr="00126090">
              <w:rPr>
                <w:rFonts w:cs="Arial"/>
                <w:b/>
                <w:sz w:val="18"/>
                <w:szCs w:val="18"/>
                <w:lang w:val="nl-NL"/>
              </w:rPr>
              <w:t>Unités visées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r w:rsidRPr="00126090">
              <w:rPr>
                <w:rFonts w:cs="Arial"/>
                <w:spacing w:val="-2"/>
                <w:sz w:val="18"/>
                <w:szCs w:val="18"/>
                <w:lang w:val="fr-FR"/>
              </w:rPr>
              <w:t>pr.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r w:rsidRPr="00126090">
              <w:rPr>
                <w:rFonts w:cs="Arial"/>
                <w:spacing w:val="-2"/>
                <w:sz w:val="18"/>
                <w:szCs w:val="18"/>
                <w:lang w:val="fr-FR"/>
              </w:rPr>
              <w:t>pr.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r w:rsidRPr="00817A6A">
              <w:rPr>
                <w:rFonts w:cs="Arial"/>
                <w:b/>
                <w:szCs w:val="18"/>
              </w:rPr>
              <w:t>Categ.</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r w:rsidRPr="00817A6A">
              <w:rPr>
                <w:rFonts w:cs="Arial"/>
                <w:b/>
                <w:szCs w:val="18"/>
              </w:rPr>
              <w:t>Benaming</w:t>
            </w:r>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r w:rsidRPr="00817A6A">
              <w:rPr>
                <w:rFonts w:cs="Arial"/>
                <w:b/>
                <w:szCs w:val="18"/>
              </w:rPr>
              <w:t>Catég.</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r w:rsidRPr="00817A6A">
              <w:rPr>
                <w:rFonts w:cs="Arial"/>
                <w:b/>
                <w:szCs w:val="18"/>
                <w:lang w:val="nl-NL"/>
              </w:rPr>
              <w:t>Unités visées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r>
              <w:rPr>
                <w:rFonts w:cs="Arial"/>
                <w:spacing w:val="-2"/>
                <w:szCs w:val="18"/>
                <w:lang w:val="fr-FR"/>
              </w:rPr>
              <w:t>pr.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r>
              <w:rPr>
                <w:rFonts w:cs="Arial"/>
                <w:spacing w:val="-2"/>
                <w:szCs w:val="18"/>
                <w:lang w:val="fr-FR"/>
              </w:rPr>
              <w:t xml:space="preserve">pr.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myeloiede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na een eerste kuur inductiechemotherapie een onvoldoende respons werd bekomen (aanwezigheid van ≥ 5% blasten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eventuele resultaten van het cytogenetisch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DaunoXome (34° van hoofdstuk IVbis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myeloïde leukemie en dat hij/zij voldoet aan alle voorwaarden van 34°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Cytogenetisch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aanwezigheid van ≥ 5 % blasten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Op basis van de bovenvermelde gegevens bevestig ik dat deze patiënt een vergoeding dient te verkrijgen voor een behandeling met DaunoXome.</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bijzondere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DaunoXome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Sur base de ces éléments j’atteste que ce patient nécessite le remboursement d’un traitement par DaunoXome.</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r w:rsidRPr="00356DBB">
              <w:rPr>
                <w:rFonts w:cs="Arial"/>
                <w:b/>
                <w:sz w:val="18"/>
                <w:szCs w:val="18"/>
                <w:lang w:val="en-US"/>
              </w:rPr>
              <w:t>Categ.</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r w:rsidRPr="00356DBB">
              <w:rPr>
                <w:rFonts w:cs="Arial"/>
                <w:b/>
                <w:sz w:val="18"/>
                <w:szCs w:val="18"/>
                <w:lang w:val="en-US"/>
              </w:rPr>
              <w:t>Benaming</w:t>
            </w:r>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r w:rsidRPr="00356DBB">
              <w:rPr>
                <w:rFonts w:cs="Arial"/>
                <w:b/>
                <w:sz w:val="18"/>
                <w:szCs w:val="18"/>
                <w:lang w:val="en-US"/>
              </w:rPr>
              <w:t>Catég.</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r w:rsidRPr="00356DBB">
              <w:rPr>
                <w:rFonts w:cs="Arial"/>
                <w:b/>
                <w:sz w:val="18"/>
                <w:szCs w:val="18"/>
                <w:lang w:val="en-US"/>
              </w:rPr>
              <w:t>Dénomination</w:t>
            </w:r>
          </w:p>
        </w:tc>
        <w:tc>
          <w:tcPr>
            <w:tcW w:w="2867" w:type="dxa"/>
          </w:tcPr>
          <w:p w14:paraId="122DB11A" w14:textId="77777777" w:rsidR="00356DBB" w:rsidRPr="00356DBB" w:rsidRDefault="00356DBB" w:rsidP="00356DBB">
            <w:pPr>
              <w:rPr>
                <w:rFonts w:cs="Arial"/>
                <w:b/>
                <w:sz w:val="18"/>
                <w:szCs w:val="18"/>
                <w:lang w:val="en-US"/>
              </w:rPr>
            </w:pPr>
            <w:r w:rsidRPr="00356DBB">
              <w:rPr>
                <w:rFonts w:cs="Arial"/>
                <w:b/>
                <w:sz w:val="18"/>
                <w:szCs w:val="18"/>
                <w:lang w:val="nl-NL"/>
              </w:rPr>
              <w:t>Unités visées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pr. flacon 25 m</w:t>
            </w:r>
            <w:r w:rsidR="00501395">
              <w:rPr>
                <w:rFonts w:cs="Arial"/>
                <w:spacing w:val="-2"/>
                <w:sz w:val="18"/>
                <w:szCs w:val="18"/>
                <w:lang w:val="nl-BE"/>
              </w:rPr>
              <w:t>L</w:t>
            </w:r>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r w:rsidRPr="00356DBB">
              <w:rPr>
                <w:rFonts w:cs="Arial"/>
                <w:spacing w:val="-2"/>
                <w:sz w:val="18"/>
                <w:szCs w:val="18"/>
              </w:rPr>
              <w:t>pr. flacon 25 m</w:t>
            </w:r>
            <w:r w:rsidR="00501395">
              <w:rPr>
                <w:rFonts w:cs="Arial"/>
                <w:spacing w:val="-2"/>
                <w:sz w:val="18"/>
                <w:szCs w:val="18"/>
              </w:rPr>
              <w:t>L</w:t>
            </w:r>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Het preparaat mag worden vergoed op grond van een omstandig medisch verslag waaruit blijkt dat het product is voorgeschreven voor een boreling conform de buitenlandse SPK (moment van toediening, weg van toediening, dosis ezv). De terugbetaling heeft betrekking op een immunoprofylaxis bij de boreling omwille van de aanwezigheid van surface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La préparation peut être remboursée sur base d’un rapport documenté établissant que la prescription a été faite à un nouveau-né, conformément au RCP étranger (moment de l’administration, voie d’administration, dose etc).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r w:rsidRPr="00CA728A">
              <w:rPr>
                <w:rFonts w:cs="Arial"/>
                <w:b/>
                <w:sz w:val="18"/>
                <w:szCs w:val="18"/>
              </w:rPr>
              <w:t>Categ.</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r w:rsidRPr="00CA728A">
              <w:rPr>
                <w:rFonts w:cs="Arial"/>
                <w:b/>
                <w:sz w:val="18"/>
                <w:szCs w:val="18"/>
              </w:rPr>
              <w:t>Benaming</w:t>
            </w:r>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r w:rsidRPr="00CA728A">
              <w:rPr>
                <w:rFonts w:cs="Arial"/>
                <w:b/>
                <w:sz w:val="18"/>
                <w:szCs w:val="18"/>
              </w:rPr>
              <w:t>Catég.</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r w:rsidRPr="00CA728A">
              <w:rPr>
                <w:rFonts w:cs="Arial"/>
                <w:b/>
                <w:sz w:val="18"/>
                <w:szCs w:val="18"/>
                <w:lang w:val="nl-NL"/>
              </w:rPr>
              <w:t>Unités visées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r w:rsidRPr="00CA728A">
              <w:rPr>
                <w:rFonts w:cs="Arial"/>
                <w:spacing w:val="-2"/>
                <w:sz w:val="18"/>
                <w:szCs w:val="18"/>
                <w:lang w:val="fr-FR"/>
              </w:rPr>
              <w:t xml:space="preserve">amp.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r w:rsidRPr="00CA728A">
              <w:rPr>
                <w:rFonts w:cs="Arial"/>
                <w:spacing w:val="-2"/>
                <w:sz w:val="18"/>
                <w:szCs w:val="18"/>
                <w:lang w:val="fr-FR"/>
              </w:rPr>
              <w:t xml:space="preserve">pr. amp. I.M. </w:t>
            </w:r>
          </w:p>
        </w:tc>
        <w:tc>
          <w:tcPr>
            <w:tcW w:w="2854" w:type="dxa"/>
          </w:tcPr>
          <w:p w14:paraId="24E9E555" w14:textId="77777777" w:rsidR="00DC35C4" w:rsidRPr="00CA728A" w:rsidRDefault="00DC35C4" w:rsidP="00DC35C4">
            <w:pPr>
              <w:jc w:val="center"/>
              <w:rPr>
                <w:rFonts w:cs="Arial"/>
                <w:sz w:val="18"/>
                <w:szCs w:val="18"/>
              </w:rPr>
            </w:pPr>
            <w:r w:rsidRPr="00CA728A">
              <w:rPr>
                <w:rFonts w:cs="Arial"/>
                <w:spacing w:val="-2"/>
                <w:sz w:val="18"/>
                <w:szCs w:val="18"/>
                <w:lang w:val="fr-FR"/>
              </w:rPr>
              <w:t>amp.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r w:rsidRPr="00CA728A">
              <w:rPr>
                <w:rFonts w:cs="Arial"/>
                <w:spacing w:val="-2"/>
                <w:sz w:val="18"/>
                <w:szCs w:val="18"/>
                <w:lang w:val="fr-FR"/>
              </w:rPr>
              <w:t>pr. amp.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r w:rsidRPr="00CA728A">
              <w:rPr>
                <w:rFonts w:cs="Arial"/>
                <w:spacing w:val="-2"/>
                <w:sz w:val="18"/>
                <w:szCs w:val="18"/>
                <w:lang w:val="fr-FR"/>
              </w:rPr>
              <w:t>amp.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51B7EA5E" w14:textId="77777777" w:rsidR="00DC35C4" w:rsidRPr="00CA728A" w:rsidRDefault="00DC35C4" w:rsidP="00DC35C4">
            <w:pPr>
              <w:jc w:val="center"/>
              <w:rPr>
                <w:rFonts w:cs="Arial"/>
                <w:sz w:val="18"/>
                <w:szCs w:val="18"/>
              </w:rPr>
            </w:pPr>
            <w:r w:rsidRPr="00CA728A">
              <w:rPr>
                <w:rFonts w:cs="Arial"/>
                <w:spacing w:val="-2"/>
                <w:sz w:val="18"/>
                <w:szCs w:val="18"/>
                <w:lang w:val="fr-FR"/>
              </w:rPr>
              <w:t>amp.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deling (Post-exposure prophylaxis: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 xml:space="preserve">(Post-exposure prophylaxis: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r w:rsidRPr="00CA728A">
              <w:rPr>
                <w:rFonts w:cs="Arial"/>
                <w:b/>
                <w:sz w:val="18"/>
                <w:szCs w:val="18"/>
              </w:rPr>
              <w:t>Categ.</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r w:rsidRPr="00CA728A">
              <w:rPr>
                <w:rFonts w:cs="Arial"/>
                <w:b/>
                <w:sz w:val="18"/>
                <w:szCs w:val="18"/>
              </w:rPr>
              <w:t>Benaming</w:t>
            </w:r>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r w:rsidRPr="00CA728A">
              <w:rPr>
                <w:rFonts w:cs="Arial"/>
                <w:b/>
                <w:sz w:val="18"/>
                <w:szCs w:val="18"/>
              </w:rPr>
              <w:t>Catég.</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r w:rsidRPr="00CA728A">
              <w:rPr>
                <w:rFonts w:cs="Arial"/>
                <w:b/>
                <w:sz w:val="18"/>
                <w:szCs w:val="18"/>
                <w:lang w:val="nl-NL"/>
              </w:rPr>
              <w:t>Unités visées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vial inj.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1 vial</w:t>
            </w:r>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flacon inj.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flacon inj.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Parasitemie-index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cfr.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r w:rsidRPr="00292163">
              <w:rPr>
                <w:rFonts w:cs="Arial"/>
                <w:spacing w:val="-2"/>
                <w:sz w:val="18"/>
                <w:szCs w:val="18"/>
                <w:lang w:val="en-US"/>
              </w:rPr>
              <w:t>ou</w:t>
            </w:r>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Clinic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Travel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zijn patiënt gedurende 28 dagen na de start van de behandeling nauwkeurig zal opvolgen dit teneinde elk neveneffect, voornamelijk hemolytische anemieën,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een Case Reporting Form (beschikbaar bij het medisch secretariaat  van het Instituut voor Tropische Geneeskunde te Antwerpen bij Dr. J. Clerinx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remplira un Case Reporting Form (disponible au secrétariat médical de l’Institut de Médecine Tropicale d’Anvers chez le Dr. J. Clerinx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erbonden aan een erkend vaccinatiecentrum voor een officieel vaccinatieattest tegen gele koorts of aan de Travel Clinic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Clinic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IVbis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P</w:t>
      </w:r>
      <w:r w:rsidRPr="00292163">
        <w:rPr>
          <w:rFonts w:eastAsia="Calibri" w:cs="Arial"/>
          <w:spacing w:val="-2"/>
          <w:sz w:val="18"/>
          <w:szCs w:val="18"/>
          <w:lang w:val="nl-BE"/>
        </w:rPr>
        <w:t>arasitemie-index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cfr.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mij ertoe mijn patiënt gedurende 28 dagen na de start van de behandeling nauwkeurig op te volgen teneinde elk neveneffect, voornamelijk hemolytische anemieën,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Op basis van deze elementen bevestig ik dat voor deze patiënt de vergoeding van een behandeling met een farmaceutische specialiteit op basis van artesunat</w:t>
      </w:r>
      <w:r w:rsidR="00877307">
        <w:rPr>
          <w:rFonts w:eastAsia="Calibri" w:cs="Arial"/>
          <w:spacing w:val="-2"/>
          <w:sz w:val="18"/>
          <w:szCs w:val="18"/>
          <w:lang w:val="nl-BE"/>
        </w:rPr>
        <w:t>e</w:t>
      </w:r>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(stempel)</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(handtekening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ernstigheidsgraad, opgesteld door het «Institute of Tropical Medicine» en de «Belgian Scientific Study Group on Travel Medicine».</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B115D4"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B115D4"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B115D4"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B115D4"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B115D4"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B115D4"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B115D4"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3C1AD32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B115D4"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B115D4"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B115D4"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r w:rsidR="008B29EC" w:rsidRPr="008B29EC">
        <w:rPr>
          <w:rFonts w:cs="Arial"/>
          <w:sz w:val="18"/>
          <w:szCs w:val="18"/>
        </w:rPr>
        <w:t>artesunat</w:t>
      </w:r>
      <w:r w:rsidR="008B29EC">
        <w:rPr>
          <w:rFonts w:cs="Arial"/>
          <w:sz w:val="18"/>
          <w:szCs w:val="18"/>
        </w:rPr>
        <w:t>e</w:t>
      </w:r>
      <w:r w:rsidRPr="00292163">
        <w:rPr>
          <w:rFonts w:cs="Arial"/>
          <w:spacing w:val="-2"/>
          <w:sz w:val="18"/>
          <w:szCs w:val="18"/>
        </w:rPr>
        <w:t xml:space="preserve"> (§ 37°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ttaché à un Centre de Vaccination agréé pour le certificat international de vaccination fièvre jaune ou à la Travel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Travel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Je m’engage à remplir un Case Reporting Form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d’artesunate</w:t>
      </w:r>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(signature du médecin)</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ANNEXE B: critères de sévérité établis par l’«Institute of Tropical Medicine» et le «Belgian Scientific Study Group on Travel Medicine».</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B115D4"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B115D4"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B115D4"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B115D4"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B115D4"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B115D4"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B115D4"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680E62B9"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B115D4"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B115D4"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B115D4"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r w:rsidRPr="00292163">
              <w:rPr>
                <w:rFonts w:cs="Arial"/>
                <w:b/>
                <w:sz w:val="18"/>
                <w:szCs w:val="18"/>
              </w:rPr>
              <w:t>Categ.</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r w:rsidRPr="00292163">
              <w:rPr>
                <w:rFonts w:cs="Arial"/>
                <w:b/>
                <w:sz w:val="18"/>
                <w:szCs w:val="18"/>
              </w:rPr>
              <w:t>Benaming</w:t>
            </w:r>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r w:rsidRPr="00292163">
              <w:rPr>
                <w:rFonts w:cs="Arial"/>
                <w:b/>
                <w:sz w:val="18"/>
                <w:szCs w:val="18"/>
              </w:rPr>
              <w:t>Catég.</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r w:rsidRPr="00292163">
              <w:rPr>
                <w:rFonts w:cs="Arial"/>
                <w:b/>
                <w:sz w:val="18"/>
                <w:szCs w:val="18"/>
                <w:lang w:val="nl-NL"/>
              </w:rPr>
              <w:t>Unités visées sous 1-2°</w:t>
            </w:r>
          </w:p>
        </w:tc>
      </w:tr>
      <w:tr w:rsidR="00292163" w:rsidRPr="00B115D4"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 xml:space="preserve">vial inj.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1 vial</w:t>
            </w:r>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 xml:space="preserve">pr. vial inj.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B115D4"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10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B115D4"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20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B115D4"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40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 xml:space="preserve">Het preparaat mag worden vergoed op </w:t>
            </w:r>
            <w:r w:rsidRPr="00D17DBA">
              <w:rPr>
                <w:rFonts w:cs="Arial"/>
                <w:sz w:val="18"/>
                <w:szCs w:val="18"/>
                <w:lang w:val="nl-NL"/>
              </w:rPr>
              <w:lastRenderedPageBreak/>
              <w:t>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rose op een evolutieve postnecroti</w:t>
            </w:r>
            <w:r w:rsidRPr="00D17DBA">
              <w:rPr>
                <w:rFonts w:cs="Arial"/>
                <w:sz w:val="18"/>
                <w:szCs w:val="18"/>
                <w:lang w:val="nl-NL"/>
              </w:rPr>
              <w:softHyphen/>
              <w:t>sche chronis</w:t>
            </w:r>
            <w:r w:rsidRPr="00D17DBA">
              <w:rPr>
                <w:rFonts w:cs="Arial"/>
                <w:sz w:val="18"/>
                <w:szCs w:val="18"/>
                <w:lang w:val="nl-NL"/>
              </w:rPr>
              <w:softHyphen/>
              <w:t>che he</w:t>
            </w:r>
            <w:r w:rsidRPr="00D17DBA">
              <w:rPr>
                <w:rFonts w:cs="Arial"/>
                <w:sz w:val="18"/>
                <w:szCs w:val="18"/>
                <w:lang w:val="nl-NL"/>
              </w:rPr>
              <w:softHyphen/>
              <w:t>patitis te wijten aan een infec</w:t>
            </w:r>
            <w:r w:rsidRPr="00D17DBA">
              <w:rPr>
                <w:rFonts w:cs="Arial"/>
                <w:sz w:val="18"/>
                <w:szCs w:val="18"/>
                <w:lang w:val="nl-NL"/>
              </w:rPr>
              <w:softHyphen/>
              <w:t>tie met het hepatitis-B-virus of wegens hepa</w:t>
            </w:r>
            <w:r w:rsidRPr="00D17DBA">
              <w:rPr>
                <w:rFonts w:cs="Arial"/>
                <w:sz w:val="18"/>
                <w:szCs w:val="18"/>
                <w:lang w:val="nl-NL"/>
              </w:rPr>
              <w:softHyphen/>
              <w:t>titis fulmi</w:t>
            </w:r>
            <w:r w:rsidRPr="00D17DBA">
              <w:rPr>
                <w:rFonts w:cs="Arial"/>
                <w:sz w:val="18"/>
                <w:szCs w:val="18"/>
                <w:lang w:val="nl-NL"/>
              </w:rPr>
              <w:softHyphen/>
              <w:t>nans,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 xml:space="preserve">boursée </w:t>
            </w:r>
            <w:r w:rsidRPr="00D17DBA">
              <w:rPr>
                <w:rFonts w:cs="Arial"/>
                <w:sz w:val="18"/>
                <w:szCs w:val="18"/>
                <w:lang w:val="fr-FR"/>
              </w:rPr>
              <w:lastRenderedPageBreak/>
              <w:t>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fection 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r w:rsidRPr="00116729">
              <w:rPr>
                <w:rFonts w:cs="Arial"/>
                <w:spacing w:val="-2"/>
                <w:sz w:val="18"/>
                <w:szCs w:val="16"/>
                <w:lang w:val="fr-FR"/>
              </w:rPr>
              <w:t>amp. I.V. 40 mL</w:t>
            </w:r>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1ED1C039" w14:textId="77777777" w:rsidR="00F26779" w:rsidRPr="00116729" w:rsidRDefault="00F26779" w:rsidP="00D66B90">
            <w:pPr>
              <w:jc w:val="center"/>
              <w:rPr>
                <w:rFonts w:cs="Arial"/>
                <w:sz w:val="18"/>
                <w:szCs w:val="16"/>
              </w:rPr>
            </w:pPr>
            <w:r w:rsidRPr="00116729">
              <w:rPr>
                <w:rFonts w:cs="Arial"/>
                <w:spacing w:val="-2"/>
                <w:sz w:val="18"/>
                <w:szCs w:val="16"/>
                <w:lang w:val="fr-FR"/>
              </w:rPr>
              <w:t>amp. I.V. 40 mL</w:t>
            </w:r>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r w:rsidRPr="00116729">
              <w:rPr>
                <w:rFonts w:cs="Arial"/>
                <w:spacing w:val="-2"/>
                <w:sz w:val="18"/>
                <w:szCs w:val="16"/>
                <w:lang w:val="fr-FR"/>
              </w:rPr>
              <w:t>amp. I.V. 2 mL</w:t>
            </w:r>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49B6B6D7" w14:textId="77777777" w:rsidR="00F26779" w:rsidRPr="00116729" w:rsidRDefault="00F26779" w:rsidP="00D66B90">
            <w:pPr>
              <w:jc w:val="center"/>
              <w:rPr>
                <w:rFonts w:cs="Arial"/>
                <w:sz w:val="18"/>
                <w:szCs w:val="16"/>
              </w:rPr>
            </w:pPr>
            <w:r w:rsidRPr="00116729">
              <w:rPr>
                <w:rFonts w:cs="Arial"/>
                <w:spacing w:val="-2"/>
                <w:sz w:val="18"/>
                <w:szCs w:val="16"/>
                <w:lang w:val="fr-FR"/>
              </w:rPr>
              <w:t>amp. I.V. 2 mL</w:t>
            </w:r>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r w:rsidRPr="00116729">
              <w:rPr>
                <w:rFonts w:cs="Arial"/>
                <w:spacing w:val="-2"/>
                <w:sz w:val="18"/>
                <w:szCs w:val="16"/>
                <w:lang w:val="fr-FR"/>
              </w:rPr>
              <w:t>amp. I.V. 10 mL</w:t>
            </w:r>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8ED84BD" w14:textId="77777777" w:rsidR="00F26779" w:rsidRPr="00116729" w:rsidRDefault="00F26779" w:rsidP="00D66B90">
            <w:pPr>
              <w:jc w:val="center"/>
              <w:rPr>
                <w:rFonts w:cs="Arial"/>
                <w:sz w:val="18"/>
                <w:szCs w:val="16"/>
              </w:rPr>
            </w:pPr>
            <w:r w:rsidRPr="00116729">
              <w:rPr>
                <w:rFonts w:cs="Arial"/>
                <w:spacing w:val="-2"/>
                <w:sz w:val="18"/>
                <w:szCs w:val="16"/>
                <w:lang w:val="fr-FR"/>
              </w:rPr>
              <w:t>amp. I.V. 10 mL</w:t>
            </w:r>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77777777" w:rsidR="00E46F95" w:rsidRPr="00E46F95" w:rsidRDefault="00E46F95" w:rsidP="00E46F95">
            <w:pPr>
              <w:ind w:left="227" w:hanging="227"/>
              <w:jc w:val="both"/>
              <w:rPr>
                <w:rFonts w:cs="Arial"/>
                <w:color w:val="000000"/>
                <w:sz w:val="18"/>
                <w:szCs w:val="18"/>
                <w:lang w:val="nl-BE"/>
              </w:rPr>
            </w:pPr>
            <w:r w:rsidRPr="00E46F95">
              <w:rPr>
                <w:rFonts w:cs="Arial"/>
                <w:color w:val="000000"/>
                <w:sz w:val="18"/>
                <w:szCs w:val="18"/>
                <w:lang w:val="nl-BE"/>
              </w:rPr>
              <w:t xml:space="preserve">41° De specialiteit komt in aanmerking voor vergoeding : </w:t>
            </w:r>
          </w:p>
        </w:tc>
        <w:tc>
          <w:tcPr>
            <w:tcW w:w="4495" w:type="dxa"/>
          </w:tcPr>
          <w:p w14:paraId="4DDE7E3E" w14:textId="77777777" w:rsidR="00E46F95" w:rsidRPr="00E46F95" w:rsidRDefault="00E46F95" w:rsidP="00E46F95">
            <w:pPr>
              <w:spacing w:line="276" w:lineRule="auto"/>
              <w:ind w:left="227" w:hanging="227"/>
              <w:jc w:val="both"/>
              <w:rPr>
                <w:rFonts w:cs="Arial"/>
                <w:color w:val="000000"/>
                <w:sz w:val="18"/>
                <w:szCs w:val="18"/>
              </w:rPr>
            </w:pPr>
            <w:r w:rsidRPr="00E46F95">
              <w:rPr>
                <w:rFonts w:cs="Arial"/>
                <w:color w:val="000000"/>
                <w:sz w:val="18"/>
                <w:szCs w:val="18"/>
              </w:rPr>
              <w:t>41° La spécialité fait l'objet d'un remboursement :</w:t>
            </w:r>
          </w:p>
        </w:tc>
      </w:tr>
      <w:tr w:rsidR="00E46F95" w:rsidRPr="00E46F95" w14:paraId="001CD93A" w14:textId="77777777" w:rsidTr="00D66B90">
        <w:trPr>
          <w:cantSplit/>
          <w:trHeight w:val="22"/>
          <w:jc w:val="center"/>
        </w:trPr>
        <w:tc>
          <w:tcPr>
            <w:tcW w:w="4575" w:type="dxa"/>
          </w:tcPr>
          <w:p w14:paraId="2617ADBB" w14:textId="77777777" w:rsidR="00E46F95" w:rsidRPr="00E46F95" w:rsidRDefault="00E46F95" w:rsidP="00E46F95">
            <w:pPr>
              <w:ind w:left="227" w:hanging="227"/>
              <w:jc w:val="both"/>
              <w:rPr>
                <w:rFonts w:cs="Arial"/>
                <w:color w:val="000000"/>
                <w:sz w:val="18"/>
                <w:szCs w:val="18"/>
              </w:rPr>
            </w:pPr>
          </w:p>
        </w:tc>
        <w:tc>
          <w:tcPr>
            <w:tcW w:w="4495" w:type="dxa"/>
          </w:tcPr>
          <w:p w14:paraId="7570B6AC" w14:textId="77777777" w:rsidR="00E46F95" w:rsidRPr="00E46F95" w:rsidRDefault="00E46F95" w:rsidP="00E46F95">
            <w:pPr>
              <w:spacing w:line="276" w:lineRule="auto"/>
              <w:ind w:left="227" w:hanging="227"/>
              <w:jc w:val="both"/>
              <w:rPr>
                <w:rFonts w:cs="Arial"/>
                <w:color w:val="000000"/>
                <w:sz w:val="18"/>
                <w:szCs w:val="18"/>
              </w:rPr>
            </w:pPr>
          </w:p>
        </w:tc>
      </w:tr>
      <w:tr w:rsidR="00E46F95" w:rsidRPr="00E46F95" w14:paraId="0A68262F" w14:textId="77777777" w:rsidTr="00D66B90">
        <w:trPr>
          <w:cantSplit/>
          <w:trHeight w:val="22"/>
          <w:jc w:val="center"/>
        </w:trPr>
        <w:tc>
          <w:tcPr>
            <w:tcW w:w="4575" w:type="dxa"/>
          </w:tcPr>
          <w:p w14:paraId="6DC6398B"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 xml:space="preserve">1. indien omwille van tolerantie busulfan  niet is aangewezen als voorbereidende behandeling voor een conventionele hematopoëtische stamceltransplantatie bij pasgeborenen, kinderen en adolescenten die de leeftijd van 18 jaar nog niet hebben bereikt, </w:t>
            </w:r>
          </w:p>
        </w:tc>
        <w:tc>
          <w:tcPr>
            <w:tcW w:w="4495" w:type="dxa"/>
          </w:tcPr>
          <w:p w14:paraId="689A8188"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 xml:space="preserve">1. si pour des raisons de tolérance le busulfan n’est pas indiqué comme traitement de conditionnement préalable à une greffe conventionnelle de cellules souches hématopoïétiques chez le nouveau-né, l'enfant et l'adolescent qui n’ont pas encore atteint l’âge de 18 ans, </w:t>
            </w:r>
          </w:p>
        </w:tc>
      </w:tr>
      <w:tr w:rsidR="00E46F95" w:rsidRPr="00E46F95" w14:paraId="3286328C" w14:textId="77777777" w:rsidTr="00D66B90">
        <w:trPr>
          <w:cantSplit/>
          <w:trHeight w:val="22"/>
          <w:jc w:val="center"/>
        </w:trPr>
        <w:tc>
          <w:tcPr>
            <w:tcW w:w="4575" w:type="dxa"/>
          </w:tcPr>
          <w:p w14:paraId="588DA281"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4CA00900"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7D7F3320" w14:textId="77777777" w:rsidTr="00D66B90">
        <w:trPr>
          <w:cantSplit/>
          <w:trHeight w:val="22"/>
          <w:jc w:val="center"/>
        </w:trPr>
        <w:tc>
          <w:tcPr>
            <w:tcW w:w="4575" w:type="dxa"/>
          </w:tcPr>
          <w:p w14:paraId="614DEDC3"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EN</w:t>
            </w:r>
          </w:p>
        </w:tc>
        <w:tc>
          <w:tcPr>
            <w:tcW w:w="4495" w:type="dxa"/>
          </w:tcPr>
          <w:p w14:paraId="05A747EE"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ET</w:t>
            </w:r>
          </w:p>
        </w:tc>
      </w:tr>
      <w:tr w:rsidR="00E46F95" w:rsidRPr="00E46F95" w14:paraId="6004E39B" w14:textId="77777777" w:rsidTr="00D66B90">
        <w:trPr>
          <w:cantSplit/>
          <w:trHeight w:val="22"/>
          <w:jc w:val="center"/>
        </w:trPr>
        <w:tc>
          <w:tcPr>
            <w:tcW w:w="4575" w:type="dxa"/>
          </w:tcPr>
          <w:p w14:paraId="13D93F46" w14:textId="77777777" w:rsidR="00E46F95" w:rsidRPr="00E46F95" w:rsidRDefault="00E46F95" w:rsidP="00E46F95">
            <w:pPr>
              <w:spacing w:line="276" w:lineRule="auto"/>
              <w:ind w:left="454" w:hanging="227"/>
              <w:jc w:val="both"/>
              <w:rPr>
                <w:rFonts w:cs="Arial"/>
                <w:color w:val="000000"/>
                <w:sz w:val="18"/>
                <w:szCs w:val="18"/>
                <w:lang w:val="nl-BE"/>
              </w:rPr>
            </w:pPr>
          </w:p>
        </w:tc>
        <w:tc>
          <w:tcPr>
            <w:tcW w:w="4495" w:type="dxa"/>
          </w:tcPr>
          <w:p w14:paraId="105D2298"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3378CB6E" w14:textId="77777777" w:rsidTr="00D66B90">
        <w:trPr>
          <w:cantSplit/>
          <w:trHeight w:val="22"/>
          <w:jc w:val="center"/>
        </w:trPr>
        <w:tc>
          <w:tcPr>
            <w:tcW w:w="4575" w:type="dxa"/>
          </w:tcPr>
          <w:p w14:paraId="369C889A"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2. voor zover ze wordt toegediend onder de bewaking van een geneesheer-specialist deel uitmakend van een dienst van hematologie en/of pediatrie die ervaring heeeft met voorbereidende behandelingen voor een conventionele hematopoëtische stamceltransplantatie.</w:t>
            </w:r>
          </w:p>
        </w:tc>
        <w:tc>
          <w:tcPr>
            <w:tcW w:w="4495" w:type="dxa"/>
          </w:tcPr>
          <w:p w14:paraId="2E3146E0"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2. et pour autant qu’elle soit administrée sous la surveillance d'un médecin spécialiste faisant partie d'un service d'hématologie et/ou de pédiatrie qui a de l'expérience avec des traitements de conditionnement préalables à une greffe conventionnelle de cellules souches hématopoïétiques.</w:t>
            </w:r>
          </w:p>
        </w:tc>
      </w:tr>
      <w:tr w:rsidR="00E46F95" w:rsidRPr="00E46F95" w14:paraId="7EB7CC5D" w14:textId="77777777" w:rsidTr="00D66B90">
        <w:trPr>
          <w:cantSplit/>
          <w:trHeight w:val="22"/>
          <w:jc w:val="center"/>
        </w:trPr>
        <w:tc>
          <w:tcPr>
            <w:tcW w:w="4575" w:type="dxa"/>
          </w:tcPr>
          <w:p w14:paraId="3C20FC73"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5881982D"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19C8B225" w14:textId="77777777" w:rsidTr="00D66B90">
        <w:trPr>
          <w:cantSplit/>
          <w:trHeight w:val="22"/>
          <w:jc w:val="center"/>
        </w:trPr>
        <w:tc>
          <w:tcPr>
            <w:tcW w:w="4575" w:type="dxa"/>
          </w:tcPr>
          <w:p w14:paraId="6C27F9B4" w14:textId="77777777" w:rsidR="00E46F95" w:rsidRPr="00E46F95" w:rsidRDefault="00E46F95" w:rsidP="00E46F95">
            <w:pPr>
              <w:spacing w:line="276" w:lineRule="auto"/>
              <w:jc w:val="both"/>
              <w:rPr>
                <w:rFonts w:cs="Arial"/>
                <w:color w:val="000000"/>
                <w:sz w:val="18"/>
                <w:szCs w:val="18"/>
                <w:lang w:val="nl-BE"/>
              </w:rPr>
            </w:pPr>
            <w:r w:rsidRPr="00E46F95">
              <w:rPr>
                <w:rFonts w:cs="Arial"/>
                <w:color w:val="000000"/>
                <w:sz w:val="18"/>
                <w:szCs w:val="18"/>
                <w:lang w:val="nl-BE"/>
              </w:rPr>
              <w:t xml:space="preserve">Voor het aantal vergoedbare flacons moet rekening gehouden worden met een posologie van maximaal 42g/m².  </w:t>
            </w:r>
          </w:p>
        </w:tc>
        <w:tc>
          <w:tcPr>
            <w:tcW w:w="4495" w:type="dxa"/>
          </w:tcPr>
          <w:p w14:paraId="54A35A36" w14:textId="77777777" w:rsidR="00E46F95" w:rsidRPr="00E46F95" w:rsidRDefault="00E46F95" w:rsidP="00E46F95">
            <w:pPr>
              <w:spacing w:line="276" w:lineRule="auto"/>
              <w:jc w:val="both"/>
              <w:rPr>
                <w:rFonts w:cs="Arial"/>
                <w:color w:val="000000"/>
                <w:sz w:val="18"/>
                <w:szCs w:val="18"/>
              </w:rPr>
            </w:pPr>
            <w:r w:rsidRPr="00E46F95">
              <w:rPr>
                <w:rFonts w:cs="Arial"/>
                <w:color w:val="000000"/>
                <w:sz w:val="18"/>
                <w:szCs w:val="18"/>
              </w:rPr>
              <w:t xml:space="preserve">Le nombre de flacons remboursables tiendra compte d'une posologie maximale de 42g/m². </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6263B072"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5FCD2A0D"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18E62CF3" w14:textId="77777777" w:rsidTr="00D66B90">
                    <w:trPr>
                      <w:tblCellSpacing w:w="0" w:type="dxa"/>
                    </w:trPr>
                    <w:tc>
                      <w:tcPr>
                        <w:tcW w:w="0" w:type="auto"/>
                        <w:hideMark/>
                      </w:tcPr>
                      <w:p w14:paraId="50F66DF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Categ. </w:t>
                        </w:r>
                      </w:p>
                    </w:tc>
                  </w:tr>
                </w:tbl>
                <w:p w14:paraId="515715E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053329FD" w14:textId="77777777" w:rsidTr="00D66B90">
                    <w:trPr>
                      <w:tblCellSpacing w:w="0" w:type="dxa"/>
                    </w:trPr>
                    <w:tc>
                      <w:tcPr>
                        <w:tcW w:w="0" w:type="auto"/>
                        <w:hideMark/>
                      </w:tcPr>
                      <w:p w14:paraId="14F1396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6DE8A08"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7B73474" w14:textId="77777777" w:rsidTr="00D66B90">
                    <w:trPr>
                      <w:tblCellSpacing w:w="0" w:type="dxa"/>
                    </w:trPr>
                    <w:tc>
                      <w:tcPr>
                        <w:tcW w:w="0" w:type="auto"/>
                        <w:hideMark/>
                      </w:tcPr>
                      <w:p w14:paraId="72621471"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0A64144B"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7A6A7100" w14:textId="77777777" w:rsidTr="00D66B90">
                    <w:trPr>
                      <w:tblCellSpacing w:w="0" w:type="dxa"/>
                    </w:trPr>
                    <w:tc>
                      <w:tcPr>
                        <w:tcW w:w="0" w:type="auto"/>
                        <w:hideMark/>
                      </w:tcPr>
                      <w:p w14:paraId="3C6B460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607E13DF" w14:textId="77777777" w:rsidR="00E46F95" w:rsidRPr="00E46F95" w:rsidRDefault="00E46F95" w:rsidP="00E46F95">
                  <w:pPr>
                    <w:rPr>
                      <w:rFonts w:cs="Arial"/>
                      <w:color w:val="000000"/>
                      <w:sz w:val="18"/>
                      <w:szCs w:val="18"/>
                      <w:lang w:val="en-US"/>
                    </w:rPr>
                  </w:pPr>
                </w:p>
              </w:tc>
            </w:tr>
            <w:tr w:rsidR="00E46F95" w:rsidRPr="00E46F95" w14:paraId="3B1A0DE7"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2A57FFAA" w14:textId="77777777" w:rsidTr="00D66B90">
                    <w:trPr>
                      <w:tblCellSpacing w:w="0" w:type="dxa"/>
                    </w:trPr>
                    <w:tc>
                      <w:tcPr>
                        <w:tcW w:w="0" w:type="auto"/>
                        <w:hideMark/>
                      </w:tcPr>
                      <w:p w14:paraId="5CD31EF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0CF7E1FF"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19176013" w14:textId="77777777" w:rsidTr="00D66B90">
                    <w:trPr>
                      <w:tblCellSpacing w:w="0" w:type="dxa"/>
                    </w:trPr>
                    <w:tc>
                      <w:tcPr>
                        <w:tcW w:w="0" w:type="auto"/>
                        <w:hideMark/>
                      </w:tcPr>
                      <w:p w14:paraId="1CA5A0D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30CD6CD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2727BD61" w14:textId="77777777" w:rsidTr="00D66B90">
                    <w:trPr>
                      <w:tblCellSpacing w:w="0" w:type="dxa"/>
                    </w:trPr>
                    <w:tc>
                      <w:tcPr>
                        <w:tcW w:w="0" w:type="auto"/>
                        <w:hideMark/>
                      </w:tcPr>
                      <w:p w14:paraId="53D4D62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3A9902B6"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6474183E" w14:textId="77777777" w:rsidTr="00D66B90">
                    <w:trPr>
                      <w:tblCellSpacing w:w="0" w:type="dxa"/>
                    </w:trPr>
                    <w:tc>
                      <w:tcPr>
                        <w:tcW w:w="0" w:type="auto"/>
                        <w:hideMark/>
                      </w:tcPr>
                      <w:p w14:paraId="1B09DD1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54D2EEA5" w14:textId="77777777" w:rsidR="00E46F95" w:rsidRPr="00E46F95" w:rsidRDefault="00E46F95" w:rsidP="00E46F95">
                  <w:pPr>
                    <w:rPr>
                      <w:rFonts w:cs="Arial"/>
                      <w:color w:val="000000"/>
                      <w:sz w:val="18"/>
                      <w:szCs w:val="18"/>
                      <w:lang w:val="en-US"/>
                    </w:rPr>
                  </w:pPr>
                </w:p>
              </w:tc>
            </w:tr>
            <w:tr w:rsidR="00E46F95" w:rsidRPr="00E46F95" w14:paraId="5BD7A2E4"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2836" w14:textId="77777777" w:rsidR="00E46F95" w:rsidRPr="00E46F95" w:rsidRDefault="00E46F95" w:rsidP="00E46F95">
                  <w:pPr>
                    <w:rPr>
                      <w:rFonts w:cs="Arial"/>
                      <w:color w:val="000000"/>
                      <w:sz w:val="18"/>
                      <w:szCs w:val="18"/>
                      <w:lang w:val="de-DE"/>
                    </w:rPr>
                  </w:pPr>
                </w:p>
              </w:tc>
            </w:tr>
            <w:tr w:rsidR="00E46F95" w:rsidRPr="00E46F95" w14:paraId="7124B736"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24140847" w14:textId="77777777" w:rsidTr="00D66B90">
                    <w:trPr>
                      <w:tblCellSpacing w:w="0" w:type="dxa"/>
                    </w:trPr>
                    <w:tc>
                      <w:tcPr>
                        <w:tcW w:w="0" w:type="auto"/>
                        <w:hideMark/>
                      </w:tcPr>
                      <w:p w14:paraId="7A90E7A8"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2F8E432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B38502"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2C1AA90" w14:textId="77777777" w:rsidTr="00D66B90">
                    <w:trPr>
                      <w:tblCellSpacing w:w="0" w:type="dxa"/>
                    </w:trPr>
                    <w:tc>
                      <w:tcPr>
                        <w:tcW w:w="0" w:type="auto"/>
                      </w:tcPr>
                      <w:p w14:paraId="2502AD5E" w14:textId="77777777" w:rsidR="00E46F95" w:rsidRPr="00E46F95" w:rsidRDefault="00E46F95" w:rsidP="00E46F95">
                        <w:pPr>
                          <w:rPr>
                            <w:rFonts w:cs="Arial"/>
                            <w:color w:val="000000"/>
                            <w:sz w:val="18"/>
                            <w:szCs w:val="18"/>
                            <w:lang w:val="en-US"/>
                          </w:rPr>
                        </w:pPr>
                      </w:p>
                    </w:tc>
                  </w:tr>
                </w:tbl>
                <w:p w14:paraId="0AB95818"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27B9E38" w14:textId="77777777" w:rsidTr="00D66B90">
                    <w:trPr>
                      <w:tblCellSpacing w:w="0" w:type="dxa"/>
                    </w:trPr>
                    <w:tc>
                      <w:tcPr>
                        <w:tcW w:w="0" w:type="auto"/>
                        <w:hideMark/>
                      </w:tcPr>
                      <w:p w14:paraId="037534EA"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1B71A070" w14:textId="77777777" w:rsidR="00E46F95" w:rsidRPr="00E46F95" w:rsidRDefault="00E46F95" w:rsidP="00E46F95">
                  <w:pPr>
                    <w:rPr>
                      <w:rFonts w:cs="Arial"/>
                      <w:color w:val="000000"/>
                      <w:sz w:val="18"/>
                      <w:szCs w:val="18"/>
                      <w:lang w:val="en-US"/>
                    </w:rPr>
                  </w:pPr>
                </w:p>
              </w:tc>
            </w:tr>
            <w:tr w:rsidR="00E46F95" w:rsidRPr="00E46F95" w14:paraId="4060C4AB"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097F7E75" w14:textId="77777777" w:rsidTr="00D66B90">
                    <w:trPr>
                      <w:tblCellSpacing w:w="0" w:type="dxa"/>
                    </w:trPr>
                    <w:tc>
                      <w:tcPr>
                        <w:tcW w:w="0" w:type="auto"/>
                        <w:hideMark/>
                      </w:tcPr>
                      <w:p w14:paraId="28957A3F" w14:textId="77777777" w:rsidR="00E46F95" w:rsidRPr="00E46F95" w:rsidRDefault="00E46F95" w:rsidP="00E46F95">
                        <w:pPr>
                          <w:rPr>
                            <w:rFonts w:cs="Arial"/>
                            <w:color w:val="000000"/>
                            <w:sz w:val="18"/>
                            <w:szCs w:val="18"/>
                            <w:lang w:val="en-US"/>
                          </w:rPr>
                        </w:pPr>
                      </w:p>
                    </w:tc>
                  </w:tr>
                </w:tbl>
                <w:p w14:paraId="7B23117D"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8FC0963" w14:textId="77777777" w:rsidTr="00D66B90">
                    <w:trPr>
                      <w:tblCellSpacing w:w="0" w:type="dxa"/>
                    </w:trPr>
                    <w:tc>
                      <w:tcPr>
                        <w:tcW w:w="0" w:type="auto"/>
                      </w:tcPr>
                      <w:p w14:paraId="0B62D117" w14:textId="77777777" w:rsidR="00E46F95" w:rsidRPr="00E46F95" w:rsidRDefault="00E46F95" w:rsidP="00E46F95">
                        <w:pPr>
                          <w:rPr>
                            <w:rFonts w:cs="Arial"/>
                            <w:color w:val="000000"/>
                            <w:sz w:val="18"/>
                            <w:szCs w:val="18"/>
                            <w:lang w:val="en-US"/>
                          </w:rPr>
                        </w:pPr>
                      </w:p>
                    </w:tc>
                  </w:tr>
                </w:tbl>
                <w:p w14:paraId="2801175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7707-862</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3CF8836" w14:textId="77777777" w:rsidTr="00D66B90">
                    <w:trPr>
                      <w:tblCellSpacing w:w="0" w:type="dxa"/>
                    </w:trPr>
                    <w:tc>
                      <w:tcPr>
                        <w:tcW w:w="0" w:type="auto"/>
                      </w:tcPr>
                      <w:p w14:paraId="4CE978E3" w14:textId="77777777" w:rsidR="00E46F95" w:rsidRPr="00E46F95" w:rsidRDefault="00E46F95" w:rsidP="00E46F95">
                        <w:pPr>
                          <w:rPr>
                            <w:rFonts w:cs="Arial"/>
                            <w:color w:val="000000"/>
                            <w:sz w:val="18"/>
                            <w:szCs w:val="18"/>
                          </w:rPr>
                        </w:pPr>
                      </w:p>
                    </w:tc>
                  </w:tr>
                </w:tbl>
                <w:p w14:paraId="3BA96119" w14:textId="77777777" w:rsidR="00E46F95" w:rsidRPr="00E46F95" w:rsidRDefault="00257C3E" w:rsidP="00E46F95">
                  <w:pPr>
                    <w:rPr>
                      <w:rFonts w:cs="Arial"/>
                      <w:color w:val="000000"/>
                      <w:sz w:val="18"/>
                      <w:szCs w:val="18"/>
                    </w:rPr>
                  </w:pPr>
                  <w:r>
                    <w:rPr>
                      <w:rFonts w:cs="Arial"/>
                      <w:color w:val="000000"/>
                      <w:sz w:val="18"/>
                      <w:szCs w:val="18"/>
                    </w:rPr>
                    <w:t>TREOSULFAN</w:t>
                  </w:r>
                  <w:r w:rsidR="009158B8">
                    <w:rPr>
                      <w:rFonts w:cs="Arial"/>
                      <w:color w:val="000000"/>
                      <w:sz w:val="18"/>
                      <w:szCs w:val="18"/>
                    </w:rPr>
                    <w:t xml:space="preserve"> </w:t>
                  </w:r>
                  <w:r w:rsidR="009158B8" w:rsidRPr="00E46F95">
                    <w:rPr>
                      <w:rFonts w:cs="Arial"/>
                      <w:color w:val="000000"/>
                      <w:sz w:val="18"/>
                      <w:szCs w:val="18"/>
                    </w:rPr>
                    <w:t>1g</w:t>
                  </w:r>
                  <w:r w:rsidR="009158B8">
                    <w:rPr>
                      <w:rFonts w:cs="Arial"/>
                      <w:color w:val="000000"/>
                      <w:sz w:val="18"/>
                      <w:szCs w:val="18"/>
                    </w:rPr>
                    <w:t xml:space="preserve">  </w:t>
                  </w:r>
                  <w:r w:rsidR="005D786C">
                    <w:rPr>
                      <w:rFonts w:cs="Arial"/>
                      <w:color w:val="000000"/>
                      <w:sz w:val="18"/>
                      <w:szCs w:val="18"/>
                    </w:rPr>
                    <w:t>(ATC : L01AB02)</w:t>
                  </w:r>
                </w:p>
                <w:p w14:paraId="6BFEE1FB"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63657A4" w14:textId="77777777" w:rsidTr="00D66B90">
                    <w:trPr>
                      <w:tblCellSpacing w:w="0" w:type="dxa"/>
                    </w:trPr>
                    <w:tc>
                      <w:tcPr>
                        <w:tcW w:w="0" w:type="auto"/>
                        <w:hideMark/>
                      </w:tcPr>
                      <w:p w14:paraId="2C305B96"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7DCD19B9" w14:textId="77777777" w:rsidR="00E46F95" w:rsidRPr="00E46F95" w:rsidRDefault="00E46F95" w:rsidP="00E46F95">
                  <w:pPr>
                    <w:rPr>
                      <w:rFonts w:cs="Arial"/>
                      <w:color w:val="000000"/>
                      <w:sz w:val="18"/>
                      <w:szCs w:val="18"/>
                      <w:lang w:val="en-US"/>
                    </w:rPr>
                  </w:pPr>
                </w:p>
              </w:tc>
            </w:tr>
            <w:tr w:rsidR="00E46F95" w:rsidRPr="00E46F95" w14:paraId="6B8D066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67D23C66" w14:textId="77777777" w:rsidTr="00D66B90">
                    <w:trPr>
                      <w:tblCellSpacing w:w="0" w:type="dxa"/>
                    </w:trPr>
                    <w:tc>
                      <w:tcPr>
                        <w:tcW w:w="0" w:type="auto"/>
                        <w:hideMark/>
                      </w:tcPr>
                      <w:p w14:paraId="5B65B4B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0763FB30"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45A105BE" w14:textId="77777777" w:rsidTr="00D66B90">
                    <w:trPr>
                      <w:tblCellSpacing w:w="0" w:type="dxa"/>
                    </w:trPr>
                    <w:tc>
                      <w:tcPr>
                        <w:tcW w:w="0" w:type="auto"/>
                      </w:tcPr>
                      <w:p w14:paraId="21A803A8" w14:textId="77777777" w:rsidR="00E46F95" w:rsidRPr="00E46F95" w:rsidRDefault="00E46F95" w:rsidP="00E46F95">
                        <w:pPr>
                          <w:rPr>
                            <w:rFonts w:cs="Arial"/>
                            <w:color w:val="000000"/>
                            <w:sz w:val="18"/>
                            <w:szCs w:val="18"/>
                            <w:lang w:val="en-US"/>
                          </w:rPr>
                        </w:pPr>
                      </w:p>
                    </w:tc>
                  </w:tr>
                </w:tbl>
                <w:p w14:paraId="4D662F53"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E7927A9" w14:textId="77777777" w:rsidTr="00D66B90">
                    <w:trPr>
                      <w:tblCellSpacing w:w="0" w:type="dxa"/>
                    </w:trPr>
                    <w:tc>
                      <w:tcPr>
                        <w:tcW w:w="0" w:type="auto"/>
                      </w:tcPr>
                      <w:p w14:paraId="6432732B" w14:textId="77777777" w:rsidR="00E46F95" w:rsidRPr="00E46F95" w:rsidRDefault="00E46F95" w:rsidP="00E46F95">
                        <w:pPr>
                          <w:rPr>
                            <w:rFonts w:cs="Arial"/>
                            <w:color w:val="000000"/>
                            <w:sz w:val="18"/>
                            <w:szCs w:val="18"/>
                          </w:rPr>
                        </w:pPr>
                      </w:p>
                    </w:tc>
                  </w:tr>
                </w:tbl>
                <w:p w14:paraId="08F385F2"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985128" w14:textId="77777777" w:rsidTr="00D66B90">
                    <w:trPr>
                      <w:tblCellSpacing w:w="0" w:type="dxa"/>
                    </w:trPr>
                    <w:tc>
                      <w:tcPr>
                        <w:tcW w:w="0" w:type="auto"/>
                        <w:hideMark/>
                      </w:tcPr>
                      <w:p w14:paraId="016638A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736E5A59" w14:textId="77777777" w:rsidR="00E46F95" w:rsidRPr="00E46F95" w:rsidRDefault="00E46F95" w:rsidP="00E46F95">
                  <w:pPr>
                    <w:rPr>
                      <w:rFonts w:cs="Arial"/>
                      <w:color w:val="000000"/>
                      <w:sz w:val="18"/>
                      <w:szCs w:val="18"/>
                      <w:lang w:val="en-US"/>
                    </w:rPr>
                  </w:pPr>
                </w:p>
              </w:tc>
            </w:tr>
          </w:tbl>
          <w:p w14:paraId="1C3CC524" w14:textId="77777777" w:rsidR="00E46F95" w:rsidRPr="00E46F95" w:rsidRDefault="00E46F95" w:rsidP="00E46F95">
            <w:pPr>
              <w:rPr>
                <w:rFonts w:cs="Arial"/>
                <w:color w:val="000000"/>
                <w:sz w:val="18"/>
                <w:szCs w:val="18"/>
                <w:lang w:val="en-US"/>
              </w:rPr>
            </w:pPr>
          </w:p>
        </w:tc>
      </w:tr>
    </w:tbl>
    <w:p w14:paraId="2574F25D" w14:textId="77777777" w:rsidR="00E46F95" w:rsidRPr="00E46F95" w:rsidRDefault="00E46F95" w:rsidP="00E46F95">
      <w:pPr>
        <w:tabs>
          <w:tab w:val="left" w:pos="567"/>
          <w:tab w:val="left" w:pos="1701"/>
          <w:tab w:val="left" w:pos="2268"/>
        </w:tabs>
        <w:spacing w:after="200" w:line="276" w:lineRule="auto"/>
        <w:jc w:val="both"/>
        <w:rPr>
          <w:rFonts w:eastAsiaTheme="minorHAnsi" w:cs="Arial"/>
          <w:sz w:val="18"/>
          <w:szCs w:val="18"/>
          <w:lang w:val="nl-BE"/>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60D4E07" w14:textId="77777777" w:rsidTr="00D66B90">
        <w:trPr>
          <w:tblCellSpacing w:w="0" w:type="dxa"/>
          <w:jc w:val="center"/>
        </w:trPr>
        <w:tc>
          <w:tcPr>
            <w:tcW w:w="0" w:type="auto"/>
            <w:hideMark/>
          </w:tcPr>
          <w:p w14:paraId="1282914F" w14:textId="77777777" w:rsidR="00E46F95" w:rsidRPr="00E46F95" w:rsidRDefault="00E46F95" w:rsidP="00E46F95">
            <w:pPr>
              <w:rPr>
                <w:rFonts w:cs="Arial"/>
                <w:color w:val="000000"/>
                <w:sz w:val="18"/>
                <w:szCs w:val="18"/>
              </w:rPr>
            </w:pPr>
          </w:p>
        </w:tc>
      </w:tr>
    </w:tbl>
    <w:p w14:paraId="37774393" w14:textId="77777777" w:rsidR="00E46F95" w:rsidRPr="00E46F95" w:rsidRDefault="00E46F95" w:rsidP="00E46F95">
      <w:pPr>
        <w:jc w:val="center"/>
        <w:rPr>
          <w:rFonts w:cs="Arial"/>
          <w:vanish/>
          <w:color w:val="000000"/>
          <w:sz w:val="18"/>
          <w:szCs w:val="18"/>
          <w:lang w:val="en-US"/>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1336BD4F"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3D30CBE0"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3B8D0553" w14:textId="77777777" w:rsidTr="00D66B90">
                    <w:trPr>
                      <w:tblCellSpacing w:w="0" w:type="dxa"/>
                    </w:trPr>
                    <w:tc>
                      <w:tcPr>
                        <w:tcW w:w="0" w:type="auto"/>
                        <w:hideMark/>
                      </w:tcPr>
                      <w:p w14:paraId="756840D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lastRenderedPageBreak/>
                          <w:t xml:space="preserve">Categ. </w:t>
                        </w:r>
                      </w:p>
                    </w:tc>
                  </w:tr>
                </w:tbl>
                <w:p w14:paraId="2C120D0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85254A4" w14:textId="77777777" w:rsidTr="00D66B90">
                    <w:trPr>
                      <w:tblCellSpacing w:w="0" w:type="dxa"/>
                    </w:trPr>
                    <w:tc>
                      <w:tcPr>
                        <w:tcW w:w="0" w:type="auto"/>
                        <w:hideMark/>
                      </w:tcPr>
                      <w:p w14:paraId="4B8BAC00"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985ECD9"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248DD8E" w14:textId="77777777" w:rsidTr="00D66B90">
                    <w:trPr>
                      <w:tblCellSpacing w:w="0" w:type="dxa"/>
                    </w:trPr>
                    <w:tc>
                      <w:tcPr>
                        <w:tcW w:w="0" w:type="auto"/>
                        <w:hideMark/>
                      </w:tcPr>
                      <w:p w14:paraId="41DC0F6F"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30686E53"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5D0317C5" w14:textId="77777777" w:rsidTr="00D66B90">
                    <w:trPr>
                      <w:tblCellSpacing w:w="0" w:type="dxa"/>
                    </w:trPr>
                    <w:tc>
                      <w:tcPr>
                        <w:tcW w:w="0" w:type="auto"/>
                        <w:hideMark/>
                      </w:tcPr>
                      <w:p w14:paraId="315D228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5AB3C246" w14:textId="77777777" w:rsidR="00E46F95" w:rsidRPr="00E46F95" w:rsidRDefault="00E46F95" w:rsidP="00E46F95">
                  <w:pPr>
                    <w:rPr>
                      <w:rFonts w:cs="Arial"/>
                      <w:color w:val="000000"/>
                      <w:sz w:val="18"/>
                      <w:szCs w:val="18"/>
                      <w:lang w:val="en-US"/>
                    </w:rPr>
                  </w:pPr>
                </w:p>
              </w:tc>
            </w:tr>
            <w:tr w:rsidR="00E46F95" w:rsidRPr="00E46F95" w14:paraId="24B00DE9"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635604EC" w14:textId="77777777" w:rsidTr="00D66B90">
                    <w:trPr>
                      <w:tblCellSpacing w:w="0" w:type="dxa"/>
                    </w:trPr>
                    <w:tc>
                      <w:tcPr>
                        <w:tcW w:w="0" w:type="auto"/>
                        <w:hideMark/>
                      </w:tcPr>
                      <w:p w14:paraId="140A1F0D"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7607AB58"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25F8CB2" w14:textId="77777777" w:rsidTr="00D66B90">
                    <w:trPr>
                      <w:tblCellSpacing w:w="0" w:type="dxa"/>
                    </w:trPr>
                    <w:tc>
                      <w:tcPr>
                        <w:tcW w:w="0" w:type="auto"/>
                        <w:hideMark/>
                      </w:tcPr>
                      <w:p w14:paraId="1F455877"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66A55CBB"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5F794794" w14:textId="77777777" w:rsidTr="00D66B90">
                    <w:trPr>
                      <w:tblCellSpacing w:w="0" w:type="dxa"/>
                    </w:trPr>
                    <w:tc>
                      <w:tcPr>
                        <w:tcW w:w="0" w:type="auto"/>
                        <w:hideMark/>
                      </w:tcPr>
                      <w:p w14:paraId="70E36A7E"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4ABBD082"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46BAC2A2" w14:textId="77777777" w:rsidTr="00D66B90">
                    <w:trPr>
                      <w:tblCellSpacing w:w="0" w:type="dxa"/>
                    </w:trPr>
                    <w:tc>
                      <w:tcPr>
                        <w:tcW w:w="0" w:type="auto"/>
                        <w:hideMark/>
                      </w:tcPr>
                      <w:p w14:paraId="223AD99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05C9AAF4" w14:textId="77777777" w:rsidR="00E46F95" w:rsidRPr="00E46F95" w:rsidRDefault="00E46F95" w:rsidP="00E46F95">
                  <w:pPr>
                    <w:rPr>
                      <w:rFonts w:cs="Arial"/>
                      <w:color w:val="000000"/>
                      <w:sz w:val="18"/>
                      <w:szCs w:val="18"/>
                      <w:lang w:val="en-US"/>
                    </w:rPr>
                  </w:pPr>
                </w:p>
              </w:tc>
            </w:tr>
            <w:tr w:rsidR="00E46F95" w:rsidRPr="00E46F95" w14:paraId="0B8A8510"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7120" w14:textId="77777777" w:rsidR="00E46F95" w:rsidRPr="00E46F95" w:rsidRDefault="00E46F95" w:rsidP="00E46F95">
                  <w:pPr>
                    <w:rPr>
                      <w:rFonts w:cs="Arial"/>
                      <w:color w:val="000000"/>
                      <w:sz w:val="18"/>
                      <w:szCs w:val="18"/>
                      <w:lang w:val="de-DE"/>
                    </w:rPr>
                  </w:pPr>
                </w:p>
              </w:tc>
            </w:tr>
            <w:tr w:rsidR="00E46F95" w:rsidRPr="00E46F95" w14:paraId="76DE0548"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3A96DD91" w14:textId="77777777" w:rsidTr="00D66B90">
                    <w:trPr>
                      <w:tblCellSpacing w:w="0" w:type="dxa"/>
                    </w:trPr>
                    <w:tc>
                      <w:tcPr>
                        <w:tcW w:w="0" w:type="auto"/>
                        <w:hideMark/>
                      </w:tcPr>
                      <w:p w14:paraId="5C1F5F46"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48BED50C"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00113D"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2E134844" w14:textId="77777777" w:rsidTr="00D66B90">
                    <w:trPr>
                      <w:tblCellSpacing w:w="0" w:type="dxa"/>
                    </w:trPr>
                    <w:tc>
                      <w:tcPr>
                        <w:tcW w:w="0" w:type="auto"/>
                      </w:tcPr>
                      <w:p w14:paraId="09A22FE0" w14:textId="77777777" w:rsidR="00E46F95" w:rsidRPr="00E46F95" w:rsidRDefault="00E46F95" w:rsidP="00E46F95">
                        <w:pPr>
                          <w:rPr>
                            <w:rFonts w:cs="Arial"/>
                            <w:color w:val="000000"/>
                            <w:sz w:val="18"/>
                            <w:szCs w:val="18"/>
                            <w:lang w:val="en-US"/>
                          </w:rPr>
                        </w:pPr>
                      </w:p>
                    </w:tc>
                  </w:tr>
                </w:tbl>
                <w:p w14:paraId="34C832C5"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BDD18AF" w14:textId="77777777" w:rsidTr="00D66B90">
                    <w:trPr>
                      <w:tblCellSpacing w:w="0" w:type="dxa"/>
                    </w:trPr>
                    <w:tc>
                      <w:tcPr>
                        <w:tcW w:w="0" w:type="auto"/>
                        <w:hideMark/>
                      </w:tcPr>
                      <w:p w14:paraId="7F506FC7"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7C08C0EC" w14:textId="77777777" w:rsidR="00E46F95" w:rsidRPr="00E46F95" w:rsidRDefault="00E46F95" w:rsidP="00E46F95">
                  <w:pPr>
                    <w:rPr>
                      <w:rFonts w:cs="Arial"/>
                      <w:color w:val="000000"/>
                      <w:sz w:val="18"/>
                      <w:szCs w:val="18"/>
                      <w:lang w:val="en-US"/>
                    </w:rPr>
                  </w:pPr>
                </w:p>
              </w:tc>
            </w:tr>
            <w:tr w:rsidR="00E46F95" w:rsidRPr="00E46F95" w14:paraId="5509EBC3"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3EBE819" w14:textId="77777777" w:rsidTr="00D66B90">
                    <w:trPr>
                      <w:tblCellSpacing w:w="0" w:type="dxa"/>
                    </w:trPr>
                    <w:tc>
                      <w:tcPr>
                        <w:tcW w:w="0" w:type="auto"/>
                        <w:hideMark/>
                      </w:tcPr>
                      <w:p w14:paraId="3E7D9C8F" w14:textId="77777777" w:rsidR="00E46F95" w:rsidRPr="00E46F95" w:rsidRDefault="00E46F95" w:rsidP="00E46F95">
                        <w:pPr>
                          <w:rPr>
                            <w:rFonts w:cs="Arial"/>
                            <w:color w:val="000000"/>
                            <w:sz w:val="18"/>
                            <w:szCs w:val="18"/>
                            <w:lang w:val="en-US"/>
                          </w:rPr>
                        </w:pPr>
                      </w:p>
                    </w:tc>
                  </w:tr>
                </w:tbl>
                <w:p w14:paraId="3C33F23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541AEA7" w14:textId="77777777" w:rsidTr="00D66B90">
                    <w:trPr>
                      <w:tblCellSpacing w:w="0" w:type="dxa"/>
                    </w:trPr>
                    <w:tc>
                      <w:tcPr>
                        <w:tcW w:w="0" w:type="auto"/>
                      </w:tcPr>
                      <w:p w14:paraId="2FE091AF" w14:textId="77777777" w:rsidR="00E46F95" w:rsidRPr="00E46F95" w:rsidRDefault="00E46F95" w:rsidP="00E46F95">
                        <w:pPr>
                          <w:rPr>
                            <w:rFonts w:cs="Arial"/>
                            <w:color w:val="000000"/>
                            <w:sz w:val="18"/>
                            <w:szCs w:val="18"/>
                            <w:lang w:val="en-US"/>
                          </w:rPr>
                        </w:pPr>
                      </w:p>
                    </w:tc>
                  </w:tr>
                </w:tbl>
                <w:p w14:paraId="53D632D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7707-987</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0808D9D" w14:textId="77777777" w:rsidTr="00D66B90">
                    <w:trPr>
                      <w:tblCellSpacing w:w="0" w:type="dxa"/>
                    </w:trPr>
                    <w:tc>
                      <w:tcPr>
                        <w:tcW w:w="0" w:type="auto"/>
                      </w:tcPr>
                      <w:p w14:paraId="5B68DA03" w14:textId="77777777" w:rsidR="00E46F95" w:rsidRPr="00E46F95" w:rsidRDefault="00E46F95" w:rsidP="00E46F95">
                        <w:pPr>
                          <w:rPr>
                            <w:rFonts w:cs="Arial"/>
                            <w:color w:val="000000"/>
                            <w:sz w:val="18"/>
                            <w:szCs w:val="18"/>
                          </w:rPr>
                        </w:pPr>
                      </w:p>
                    </w:tc>
                  </w:tr>
                </w:tbl>
                <w:p w14:paraId="3EC5A8C9" w14:textId="77777777" w:rsidR="00E46F95" w:rsidRPr="00E46F95" w:rsidRDefault="00257C3E" w:rsidP="00E46F95">
                  <w:pPr>
                    <w:rPr>
                      <w:rFonts w:cs="Arial"/>
                      <w:color w:val="000000"/>
                      <w:sz w:val="18"/>
                      <w:szCs w:val="18"/>
                    </w:rPr>
                  </w:pPr>
                  <w:r>
                    <w:rPr>
                      <w:rFonts w:cs="Arial"/>
                      <w:color w:val="000000"/>
                      <w:sz w:val="18"/>
                      <w:szCs w:val="18"/>
                    </w:rPr>
                    <w:t>TREOSULFAN</w:t>
                  </w:r>
                  <w:r w:rsidR="00E46F95" w:rsidRPr="00E46F95">
                    <w:rPr>
                      <w:rFonts w:cs="Arial"/>
                      <w:color w:val="000000"/>
                      <w:sz w:val="18"/>
                      <w:szCs w:val="18"/>
                    </w:rPr>
                    <w:t xml:space="preserve"> </w:t>
                  </w:r>
                  <w:r w:rsidR="009158B8">
                    <w:rPr>
                      <w:rFonts w:cs="Arial"/>
                      <w:color w:val="000000"/>
                      <w:sz w:val="18"/>
                      <w:szCs w:val="18"/>
                    </w:rPr>
                    <w:t xml:space="preserve"> </w:t>
                  </w:r>
                  <w:r w:rsidR="009158B8" w:rsidRPr="00E46F95">
                    <w:rPr>
                      <w:rFonts w:cs="Arial"/>
                      <w:color w:val="000000"/>
                      <w:sz w:val="18"/>
                      <w:szCs w:val="18"/>
                    </w:rPr>
                    <w:t>5g</w:t>
                  </w:r>
                  <w:r w:rsidR="005D786C">
                    <w:rPr>
                      <w:rFonts w:cs="Arial"/>
                      <w:color w:val="000000"/>
                      <w:sz w:val="18"/>
                      <w:szCs w:val="18"/>
                    </w:rPr>
                    <w:t xml:space="preserve"> (ATC : L01AB02) </w:t>
                  </w:r>
                </w:p>
                <w:p w14:paraId="3FE8FE50"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4329553" w14:textId="77777777" w:rsidTr="00D66B90">
                    <w:trPr>
                      <w:tblCellSpacing w:w="0" w:type="dxa"/>
                    </w:trPr>
                    <w:tc>
                      <w:tcPr>
                        <w:tcW w:w="0" w:type="auto"/>
                        <w:hideMark/>
                      </w:tcPr>
                      <w:p w14:paraId="68710DFD"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33977901" w14:textId="77777777" w:rsidR="00E46F95" w:rsidRPr="00E46F95" w:rsidRDefault="00E46F95" w:rsidP="00E46F95">
                  <w:pPr>
                    <w:rPr>
                      <w:rFonts w:cs="Arial"/>
                      <w:color w:val="000000"/>
                      <w:sz w:val="18"/>
                      <w:szCs w:val="18"/>
                      <w:lang w:val="en-US"/>
                    </w:rPr>
                  </w:pPr>
                </w:p>
              </w:tc>
            </w:tr>
            <w:tr w:rsidR="00E46F95" w:rsidRPr="00E46F95" w14:paraId="6BF358C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23D1587B" w14:textId="77777777" w:rsidTr="00D66B90">
                    <w:trPr>
                      <w:tblCellSpacing w:w="0" w:type="dxa"/>
                    </w:trPr>
                    <w:tc>
                      <w:tcPr>
                        <w:tcW w:w="0" w:type="auto"/>
                        <w:hideMark/>
                      </w:tcPr>
                      <w:p w14:paraId="78A66DDB"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313C2C25"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0EFA1D4" w14:textId="77777777" w:rsidTr="00D66B90">
                    <w:trPr>
                      <w:tblCellSpacing w:w="0" w:type="dxa"/>
                    </w:trPr>
                    <w:tc>
                      <w:tcPr>
                        <w:tcW w:w="0" w:type="auto"/>
                      </w:tcPr>
                      <w:p w14:paraId="6C764987" w14:textId="77777777" w:rsidR="00E46F95" w:rsidRPr="00E46F95" w:rsidRDefault="00E46F95" w:rsidP="00E46F95">
                        <w:pPr>
                          <w:rPr>
                            <w:rFonts w:cs="Arial"/>
                            <w:color w:val="000000"/>
                            <w:sz w:val="18"/>
                            <w:szCs w:val="18"/>
                            <w:lang w:val="en-US"/>
                          </w:rPr>
                        </w:pPr>
                      </w:p>
                    </w:tc>
                  </w:tr>
                </w:tbl>
                <w:p w14:paraId="541FF72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4396C67" w14:textId="77777777" w:rsidTr="00D66B90">
                    <w:trPr>
                      <w:tblCellSpacing w:w="0" w:type="dxa"/>
                    </w:trPr>
                    <w:tc>
                      <w:tcPr>
                        <w:tcW w:w="0" w:type="auto"/>
                      </w:tcPr>
                      <w:p w14:paraId="6958F199" w14:textId="77777777" w:rsidR="00E46F95" w:rsidRPr="00E46F95" w:rsidRDefault="00E46F95" w:rsidP="00E46F95">
                        <w:pPr>
                          <w:rPr>
                            <w:rFonts w:cs="Arial"/>
                            <w:color w:val="000000"/>
                            <w:sz w:val="18"/>
                            <w:szCs w:val="18"/>
                          </w:rPr>
                        </w:pPr>
                      </w:p>
                    </w:tc>
                  </w:tr>
                </w:tbl>
                <w:p w14:paraId="7A005B85"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A882AB" w14:textId="77777777" w:rsidTr="00D66B90">
                    <w:trPr>
                      <w:tblCellSpacing w:w="0" w:type="dxa"/>
                    </w:trPr>
                    <w:tc>
                      <w:tcPr>
                        <w:tcW w:w="0" w:type="auto"/>
                        <w:hideMark/>
                      </w:tcPr>
                      <w:p w14:paraId="7AC3EEAE"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60A9C4E4" w14:textId="77777777" w:rsidR="00E46F95" w:rsidRPr="00E46F95" w:rsidRDefault="00E46F95" w:rsidP="00E46F95">
                  <w:pPr>
                    <w:rPr>
                      <w:rFonts w:cs="Arial"/>
                      <w:color w:val="000000"/>
                      <w:sz w:val="18"/>
                      <w:szCs w:val="18"/>
                      <w:lang w:val="en-US"/>
                    </w:rPr>
                  </w:pPr>
                </w:p>
              </w:tc>
            </w:tr>
          </w:tbl>
          <w:p w14:paraId="71A2F24F" w14:textId="77777777" w:rsidR="00E46F95" w:rsidRPr="00E46F95" w:rsidRDefault="00E46F95" w:rsidP="00E46F95">
            <w:pPr>
              <w:rPr>
                <w:rFonts w:cs="Arial"/>
                <w:color w:val="000000"/>
                <w:sz w:val="18"/>
                <w:szCs w:val="18"/>
                <w:lang w:val="en-US"/>
              </w:rPr>
            </w:pPr>
          </w:p>
        </w:tc>
      </w:tr>
    </w:tbl>
    <w:p w14:paraId="360935E0" w14:textId="77777777" w:rsidR="00E46F95" w:rsidRDefault="00E46F95" w:rsidP="000F6438">
      <w:pPr>
        <w:rPr>
          <w:rFonts w:cs="Arial"/>
          <w:sz w:val="14"/>
          <w:szCs w:val="24"/>
        </w:rPr>
      </w:pPr>
    </w:p>
    <w:p w14:paraId="1A64925E" w14:textId="77777777" w:rsidR="0015625B"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B115D4"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B115D4"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B115D4"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 xml:space="preserve">le traitement en première ligne, sous forme du schéma PCV (procarbazine, lomustine, vincristine) dans le traitement néo(adiuvant avec radiothérapie d’un gliome malin </w:t>
            </w:r>
            <w:r w:rsidRPr="00171DE4">
              <w:rPr>
                <w:spacing w:val="-2"/>
                <w:sz w:val="18"/>
                <w:szCs w:val="18"/>
              </w:rPr>
              <w:t>(WHO grade III) avec preuve de la co-délétion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5C3E1F" w:rsidRPr="00B115D4"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B115D4"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(procarbazine, lomustine, vincristine) dans le traitement (néo)adjuvant avec radiothérapie d’un gliome de WHO grade II (</w:t>
            </w:r>
            <w:r w:rsidRPr="00171DE4">
              <w:rPr>
                <w:spacing w:val="-2"/>
                <w:sz w:val="18"/>
                <w:szCs w:val="18"/>
              </w:rPr>
              <w:t>astrocytoma, oligoastrocytoma, oligodendroglioma)</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B115D4"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B115D4"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 xml:space="preserve">(procarbazine, lomustine, vincristine) </w:t>
            </w:r>
            <w:r w:rsidRPr="00171DE4">
              <w:rPr>
                <w:spacing w:val="-2"/>
                <w:sz w:val="18"/>
                <w:szCs w:val="18"/>
              </w:rPr>
              <w:t>dans le traitement en deuxième ligne (ou ultérieure) d’un patient soufrant d’un gliome malin (WHO grade II, III ou IV) qui récidivent ou progressent endéans 3 mois après l’arrêt d’un traitement par temozolomide (code 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c)</w:t>
            </w:r>
            <w:r w:rsidRPr="00171DE4">
              <w:rPr>
                <w:spacing w:val="-2"/>
                <w:sz w:val="18"/>
                <w:szCs w:val="18"/>
                <w:lang w:val="nl-BE"/>
              </w:rPr>
              <w:t xml:space="preserve">in monotherapie of als onderdeel van het PCV schema (procarbazine, lomustine, vincristine)  bij de tweede of latere lijnsbehandeling van een patiënt met een maligne glioom (WHO graad II, III of IV) </w:t>
            </w:r>
          </w:p>
          <w:p w14:paraId="518E6974" w14:textId="77777777" w:rsidR="005C3E1F" w:rsidRPr="005C3E1F" w:rsidRDefault="005C3E1F" w:rsidP="005C3E1F">
            <w:pPr>
              <w:pStyle w:val="ListParagraph"/>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die een recidief of een progressie vertonen tijdens of binnen 3 maanden na het stoppen van de temozolomide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 xml:space="preserve">Categ.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r w:rsidRPr="00116729">
              <w:rPr>
                <w:rFonts w:cs="Arial"/>
                <w:b/>
                <w:spacing w:val="-2"/>
                <w:sz w:val="18"/>
                <w:szCs w:val="16"/>
                <w:lang w:val="nl-NL"/>
              </w:rPr>
              <w:t xml:space="preserve">Catég.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Dénomination</w:t>
            </w:r>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Unités visées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B115D4"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 xml:space="preserve">cin prescripteur, médecin-spécialiste en neurologie avec un compétence particulière en oncologie, ou médecin-spécialiste en oncologie médicale, ou médecin spécialiste en médecine interne avec une </w:t>
            </w:r>
            <w:r>
              <w:rPr>
                <w:rFonts w:cs="Arial"/>
                <w:spacing w:val="-2"/>
                <w:szCs w:val="18"/>
                <w:lang w:val="fr-FR"/>
              </w:rPr>
              <w:lastRenderedPageBreak/>
              <w:t>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lastRenderedPageBreak/>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w:t>
            </w:r>
            <w:r>
              <w:rPr>
                <w:rFonts w:cs="Arial"/>
                <w:spacing w:val="-2"/>
                <w:szCs w:val="18"/>
                <w:lang w:val="nl-BE"/>
              </w:rPr>
              <w:lastRenderedPageBreak/>
              <w:t>in de medische oncologie , of geneesheer specialist in de inwendige geneeskunde met een bijzondere beroepsbekwaamheid in de klinische hematologie, dat ze bestemd is voor :</w:t>
            </w:r>
          </w:p>
        </w:tc>
      </w:tr>
      <w:tr w:rsidR="00033C03" w:rsidRPr="00B115D4"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B115D4"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stParagraph"/>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néo(adiuvant avec radiothérapie d’un gliome malin (WHO grade III) avec preuve de la co-délétion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033C03" w:rsidRPr="00B115D4"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B115D4"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stParagraph"/>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(néo)adjuvant avec radiothérapie d’un gliome de WHO grade II (astrocytoma, oligoastrocytoma, oligodendroglioma)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tc>
      </w:tr>
      <w:tr w:rsidR="00033C03" w:rsidRPr="00B115D4"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B115D4"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stParagraph"/>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(procarbazine, lomustine, vincristine) dans le traitement en deuxième ligne (ou ultérieure) d’un patient soufrant d’un gliome malin (WHO grade II, III ou IV) qui récidivent ou progressent endéans 3 mois après l’arrêt d’un traitement par temozolomide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in monotherapie of als onderdeel van het PCV schema (procarbazine, lomustine, vincristine)  bij de tweede of latere lijnsbehandeling van een patiënt met een maligne glioom (WHO graad II, III of IV) die een recidief of een progressie vertonen tijdens of binnen 3 maanden na het stoppen van de temozolomide  (ATC code L01AX03) behandeling.</w:t>
            </w:r>
          </w:p>
        </w:tc>
      </w:tr>
      <w:tr w:rsidR="00033C03" w:rsidRPr="00B115D4"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stParagraph"/>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stParagraph"/>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r w:rsidRPr="00116729">
              <w:rPr>
                <w:b/>
                <w:sz w:val="18"/>
                <w:szCs w:val="16"/>
              </w:rPr>
              <w:t>Categ.</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r w:rsidRPr="00116729">
              <w:rPr>
                <w:b/>
                <w:sz w:val="18"/>
                <w:szCs w:val="16"/>
              </w:rPr>
              <w:t>Benaming</w:t>
            </w:r>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r w:rsidRPr="00116729">
              <w:rPr>
                <w:b/>
                <w:sz w:val="18"/>
                <w:szCs w:val="16"/>
              </w:rPr>
              <w:t>Catég.</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r w:rsidRPr="00116729">
              <w:rPr>
                <w:b/>
                <w:sz w:val="18"/>
                <w:szCs w:val="16"/>
                <w:lang w:val="nl-NL"/>
              </w:rPr>
              <w:t>Unités visées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De hiernavolgende specialiteiten mogen worden vergoed indien uit het gemotiveerd verslag,  opgesteld door de infectioloog-internist of kinderarts werkzaam in een dienst infectieziekten of tropische ziekten, blijkt dat ze  bestemd zijn voor de behandeling van Echinococcosis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port circonstancié, rédigé par l’interniste-infectiologue ou pédiatre attaché à un service 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Echinococcus granulosus (cystische Echinococcosis of hydatidosis)</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ListParagraph"/>
              <w:numPr>
                <w:ilvl w:val="0"/>
                <w:numId w:val="32"/>
              </w:numPr>
              <w:ind w:left="227" w:hanging="227"/>
              <w:jc w:val="both"/>
              <w:rPr>
                <w:rFonts w:cs="Arial"/>
                <w:color w:val="000000"/>
                <w:sz w:val="18"/>
                <w:szCs w:val="18"/>
              </w:rPr>
            </w:pPr>
            <w:r w:rsidRPr="00501395">
              <w:rPr>
                <w:rFonts w:ascii="Arial" w:hAnsi="Arial" w:cs="Arial"/>
                <w:sz w:val="18"/>
                <w:szCs w:val="18"/>
                <w:lang w:val="fr-BE"/>
              </w:rPr>
              <w:t>Echinococcus granulosus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Echinococcus multilocularis (alveolaire Echinococcosis).</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(Echinococcose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Als de apotheker vaststelt dat de grondstof albendazol onbeschikbaar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Si le pharmacien constate que la matière première albendazole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r w:rsidRPr="00116729">
              <w:rPr>
                <w:b/>
                <w:sz w:val="18"/>
                <w:szCs w:val="16"/>
              </w:rPr>
              <w:t>Categ.</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r w:rsidRPr="00116729">
              <w:rPr>
                <w:b/>
                <w:sz w:val="18"/>
                <w:szCs w:val="16"/>
              </w:rPr>
              <w:t>Benaming</w:t>
            </w:r>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r w:rsidRPr="00116729">
              <w:rPr>
                <w:b/>
                <w:sz w:val="18"/>
                <w:szCs w:val="16"/>
              </w:rPr>
              <w:t>Catég.</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r w:rsidRPr="00116729">
              <w:rPr>
                <w:b/>
                <w:sz w:val="18"/>
                <w:szCs w:val="16"/>
                <w:lang w:val="nl-NL"/>
              </w:rPr>
              <w:t>Unités visées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ListParagraph"/>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La spécialité fait l’objet d’un remboursement si elle est administrée en monotherapie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rechthebbende heeft een orgaantransplantatie of hematopoïetische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ListParagraph"/>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ListParagraph"/>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ListParagraph"/>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ListParagraph"/>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r w:rsidRPr="00B70E25">
              <w:rPr>
                <w:b/>
                <w:sz w:val="18"/>
                <w:szCs w:val="18"/>
              </w:rPr>
              <w:t>Categ.</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r w:rsidRPr="00B70E25">
              <w:rPr>
                <w:b/>
                <w:sz w:val="18"/>
                <w:szCs w:val="18"/>
              </w:rPr>
              <w:t>Benaming</w:t>
            </w:r>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r w:rsidRPr="00B70E25">
              <w:rPr>
                <w:b/>
                <w:sz w:val="18"/>
                <w:szCs w:val="18"/>
              </w:rPr>
              <w:t>Catég.</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r w:rsidRPr="00B70E25">
              <w:rPr>
                <w:b/>
                <w:sz w:val="18"/>
                <w:szCs w:val="18"/>
              </w:rPr>
              <w:t>Categ.</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r w:rsidRPr="00B70E25">
              <w:rPr>
                <w:b/>
                <w:sz w:val="18"/>
                <w:szCs w:val="18"/>
              </w:rPr>
              <w:t>Benaming</w:t>
            </w:r>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r w:rsidRPr="00B70E25">
              <w:rPr>
                <w:b/>
                <w:sz w:val="18"/>
                <w:szCs w:val="18"/>
              </w:rPr>
              <w:t>Catég.</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De specialiteit is vergoedbaar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Hypogonadisme hypogonadotrophique</w:t>
            </w:r>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Subfertilité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Puberté retardée suite à une déficience pituitaire gonadotrophique</w:t>
            </w:r>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Prepubertaire cryptorchidie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Cryptorchidie prépubertaire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r w:rsidRPr="006A3DAA">
              <w:rPr>
                <w:b/>
                <w:bCs/>
                <w:color w:val="000000"/>
                <w:sz w:val="18"/>
                <w:szCs w:val="18"/>
                <w:lang w:val="en-GB" w:eastAsia="en-GB"/>
              </w:rPr>
              <w:t xml:space="preserve">Categ.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Benaming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Eenheden beoogd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Catég.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Dénomination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Unités visées sous 1-2° </w:t>
            </w:r>
          </w:p>
        </w:tc>
      </w:tr>
      <w:tr w:rsidR="002936B1" w:rsidRPr="006A3DAA" w14:paraId="3C5DE3E0" w14:textId="77777777" w:rsidTr="002936B1">
        <w:trPr>
          <w:trHeight w:val="81"/>
        </w:trPr>
        <w:tc>
          <w:tcPr>
            <w:tcW w:w="8755" w:type="dxa"/>
            <w:gridSpan w:val="4"/>
          </w:tcPr>
          <w:p w14:paraId="27928DFD" w14:textId="0FB3574F"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D3BCD3C"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4D8069ED"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2D7AD19"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deling van een hypothyroïde patiënt die op geen andere manier thyroïdhormoon kan toegediend krijgen of in geval van myxoedemateus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r w:rsidRPr="008C57A8">
              <w:rPr>
                <w:rFonts w:cs="Arial"/>
                <w:b/>
                <w:sz w:val="18"/>
                <w:szCs w:val="18"/>
              </w:rPr>
              <w:t>Categ.</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r w:rsidRPr="008C57A8">
              <w:rPr>
                <w:rFonts w:cs="Arial"/>
                <w:b/>
                <w:sz w:val="18"/>
                <w:szCs w:val="18"/>
              </w:rPr>
              <w:t>Benaming</w:t>
            </w:r>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r w:rsidRPr="008C57A8">
              <w:rPr>
                <w:rFonts w:cs="Arial"/>
                <w:b/>
                <w:sz w:val="18"/>
                <w:szCs w:val="18"/>
              </w:rPr>
              <w:t>Catég.</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r w:rsidRPr="008C57A8">
              <w:rPr>
                <w:rFonts w:cs="Arial"/>
                <w:b/>
                <w:sz w:val="18"/>
                <w:szCs w:val="18"/>
                <w:lang w:val="nl-NL"/>
              </w:rPr>
              <w:t>Unités visées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amp. </w:t>
            </w:r>
            <w:r w:rsidR="00501395">
              <w:rPr>
                <w:rFonts w:cs="Arial"/>
                <w:spacing w:val="-2"/>
                <w:sz w:val="18"/>
                <w:szCs w:val="18"/>
                <w:lang w:val="fr-FR"/>
              </w:rPr>
              <w:t>1 mL</w:t>
            </w:r>
          </w:p>
        </w:tc>
      </w:tr>
    </w:tbl>
    <w:p w14:paraId="19C6C33C" w14:textId="580762A0" w:rsidR="008C57A8" w:rsidRPr="008C57A8" w:rsidRDefault="008C57A8" w:rsidP="000F6438">
      <w:pPr>
        <w:rPr>
          <w:rFonts w:cs="Arial"/>
          <w:sz w:val="14"/>
          <w:szCs w:val="24"/>
        </w:rPr>
      </w:pPr>
    </w:p>
    <w:p w14:paraId="7105F9BB" w14:textId="06902553" w:rsidR="002936B1" w:rsidRPr="002936B1" w:rsidRDefault="002936B1" w:rsidP="000F6438">
      <w:pPr>
        <w:rPr>
          <w:rFonts w:cs="Arial"/>
          <w:sz w:val="14"/>
          <w:szCs w:val="24"/>
          <w:lang w:val="fr-FR"/>
        </w:rPr>
      </w:pPr>
    </w:p>
    <w:sectPr w:rsidR="002936B1"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2E44" w14:textId="6789850F" w:rsidR="00ED32EB" w:rsidRDefault="00ED32EB" w:rsidP="00F2091F">
    <w:pPr>
      <w:jc w:val="right"/>
      <w:rPr>
        <w:sz w:val="18"/>
        <w:szCs w:val="18"/>
      </w:rPr>
    </w:pPr>
    <w:r w:rsidRPr="00632676">
      <w:rPr>
        <w:sz w:val="16"/>
      </w:rPr>
      <w:t>B</w:t>
    </w:r>
    <w:r>
      <w:rPr>
        <w:sz w:val="16"/>
      </w:rPr>
      <w:t>ijwerking 01.</w:t>
    </w:r>
    <w:r w:rsidR="009D360D">
      <w:rPr>
        <w:sz w:val="16"/>
      </w:rPr>
      <w:t>0</w:t>
    </w:r>
    <w:r w:rsidR="00B115D4">
      <w:rPr>
        <w:sz w:val="16"/>
      </w:rPr>
      <w:t>3</w:t>
    </w:r>
    <w:r w:rsidR="009D360D">
      <w:rPr>
        <w:sz w:val="16"/>
      </w:rPr>
      <w:t>.2025</w:t>
    </w:r>
    <w:r>
      <w:rPr>
        <w:sz w:val="16"/>
      </w:rPr>
      <w:t xml:space="preserve"> – Mise à jour 01.</w:t>
    </w:r>
    <w:r w:rsidR="009D360D">
      <w:rPr>
        <w:sz w:val="16"/>
      </w:rPr>
      <w:t>0</w:t>
    </w:r>
    <w:r w:rsidR="00B115D4">
      <w:rPr>
        <w:sz w:val="16"/>
      </w:rPr>
      <w:t>3</w:t>
    </w:r>
    <w:r w:rsidR="009D360D">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B4F" w14:textId="77777777" w:rsidR="00ED32EB" w:rsidRDefault="00ED32EB" w:rsidP="0031456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3E3697" w14:textId="77777777" w:rsidR="00ED32EB" w:rsidRDefault="00ED3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24A2" w14:textId="77777777" w:rsidR="00ED32EB" w:rsidRPr="0031456E" w:rsidRDefault="00ED32EB" w:rsidP="002514E2">
    <w:pPr>
      <w:pStyle w:val="Header"/>
      <w:framePr w:wrap="around" w:vAnchor="text" w:hAnchor="margin" w:xAlign="center" w:y="1"/>
      <w:rPr>
        <w:rStyle w:val="PageNumber"/>
        <w:sz w:val="18"/>
        <w:szCs w:val="18"/>
      </w:rPr>
    </w:pPr>
    <w:r w:rsidRPr="0031456E">
      <w:rPr>
        <w:rStyle w:val="PageNumber"/>
        <w:sz w:val="18"/>
        <w:szCs w:val="18"/>
      </w:rPr>
      <w:fldChar w:fldCharType="begin"/>
    </w:r>
    <w:r w:rsidRPr="0031456E">
      <w:rPr>
        <w:rStyle w:val="PageNumber"/>
        <w:sz w:val="18"/>
        <w:szCs w:val="18"/>
      </w:rPr>
      <w:instrText xml:space="preserve">PAGE  </w:instrText>
    </w:r>
    <w:r w:rsidRPr="0031456E">
      <w:rPr>
        <w:rStyle w:val="PageNumber"/>
        <w:sz w:val="18"/>
        <w:szCs w:val="18"/>
      </w:rPr>
      <w:fldChar w:fldCharType="separate"/>
    </w:r>
    <w:r>
      <w:rPr>
        <w:rStyle w:val="PageNumber"/>
        <w:noProof/>
        <w:sz w:val="18"/>
        <w:szCs w:val="18"/>
      </w:rPr>
      <w:t>- 1 -</w:t>
    </w:r>
    <w:r w:rsidRPr="0031456E">
      <w:rPr>
        <w:rStyle w:val="PageNumber"/>
        <w:sz w:val="18"/>
        <w:szCs w:val="18"/>
      </w:rPr>
      <w:fldChar w:fldCharType="end"/>
    </w:r>
  </w:p>
  <w:p w14:paraId="790245C5" w14:textId="77777777" w:rsidR="00ED32EB" w:rsidRDefault="00ED32EB">
    <w:pPr>
      <w:pStyle w:val="Header"/>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C73C6"/>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5005A8"/>
    <w:rsid w:val="00501395"/>
    <w:rsid w:val="00504D17"/>
    <w:rsid w:val="00510083"/>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6159C5"/>
    <w:rsid w:val="00616A74"/>
    <w:rsid w:val="00617133"/>
    <w:rsid w:val="006179ED"/>
    <w:rsid w:val="00622B5B"/>
    <w:rsid w:val="00631A0B"/>
    <w:rsid w:val="00631FB1"/>
    <w:rsid w:val="00632676"/>
    <w:rsid w:val="00637492"/>
    <w:rsid w:val="00645836"/>
    <w:rsid w:val="00647706"/>
    <w:rsid w:val="0065316F"/>
    <w:rsid w:val="0066058D"/>
    <w:rsid w:val="0066111A"/>
    <w:rsid w:val="0067188C"/>
    <w:rsid w:val="00673551"/>
    <w:rsid w:val="00677539"/>
    <w:rsid w:val="00680F18"/>
    <w:rsid w:val="00682E39"/>
    <w:rsid w:val="00692AD4"/>
    <w:rsid w:val="0069481F"/>
    <w:rsid w:val="006A443B"/>
    <w:rsid w:val="006B0BEE"/>
    <w:rsid w:val="006B103D"/>
    <w:rsid w:val="006B2271"/>
    <w:rsid w:val="006B5F5A"/>
    <w:rsid w:val="006B7F49"/>
    <w:rsid w:val="006C192B"/>
    <w:rsid w:val="006C4ACE"/>
    <w:rsid w:val="006F47ED"/>
    <w:rsid w:val="007117F9"/>
    <w:rsid w:val="0071327B"/>
    <w:rsid w:val="0071656B"/>
    <w:rsid w:val="00730A9B"/>
    <w:rsid w:val="00734D86"/>
    <w:rsid w:val="00736FB7"/>
    <w:rsid w:val="00752426"/>
    <w:rsid w:val="00755132"/>
    <w:rsid w:val="00762273"/>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2D8B"/>
    <w:rsid w:val="00975368"/>
    <w:rsid w:val="00975EF4"/>
    <w:rsid w:val="00977407"/>
    <w:rsid w:val="009778DF"/>
    <w:rsid w:val="009861E5"/>
    <w:rsid w:val="009903F1"/>
    <w:rsid w:val="00992125"/>
    <w:rsid w:val="009A73B2"/>
    <w:rsid w:val="009B0AD1"/>
    <w:rsid w:val="009C1077"/>
    <w:rsid w:val="009C12F7"/>
    <w:rsid w:val="009C5710"/>
    <w:rsid w:val="009C69D6"/>
    <w:rsid w:val="009D360D"/>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73A3"/>
    <w:rsid w:val="00AD1591"/>
    <w:rsid w:val="00B02C97"/>
    <w:rsid w:val="00B115D4"/>
    <w:rsid w:val="00B2107C"/>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D0185"/>
    <w:rsid w:val="00BD1BD6"/>
    <w:rsid w:val="00BD42C4"/>
    <w:rsid w:val="00BD5DF0"/>
    <w:rsid w:val="00BE0D01"/>
    <w:rsid w:val="00BE3F3D"/>
    <w:rsid w:val="00BF3C93"/>
    <w:rsid w:val="00C04F6D"/>
    <w:rsid w:val="00C114D1"/>
    <w:rsid w:val="00C11A01"/>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E1F26"/>
    <w:rsid w:val="00CF44E9"/>
    <w:rsid w:val="00D05506"/>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430"/>
    <w:rsid w:val="00DC2768"/>
    <w:rsid w:val="00DC35C4"/>
    <w:rsid w:val="00DC61D8"/>
    <w:rsid w:val="00DD3673"/>
    <w:rsid w:val="00DE12F7"/>
    <w:rsid w:val="00E04F8F"/>
    <w:rsid w:val="00E1314B"/>
    <w:rsid w:val="00E22E8F"/>
    <w:rsid w:val="00E23B7E"/>
    <w:rsid w:val="00E33000"/>
    <w:rsid w:val="00E3751E"/>
    <w:rsid w:val="00E45163"/>
    <w:rsid w:val="00E45202"/>
    <w:rsid w:val="00E46F95"/>
    <w:rsid w:val="00E52EA8"/>
    <w:rsid w:val="00E62101"/>
    <w:rsid w:val="00E635AE"/>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D664C"/>
    <w:rsid w:val="00EE14DE"/>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256"/>
    <w:rPr>
      <w:rFonts w:ascii="Arial" w:hAnsi="Arial"/>
      <w:lang w:val="fr-BE" w:eastAsia="en-US"/>
    </w:rPr>
  </w:style>
  <w:style w:type="paragraph" w:styleId="Heading1">
    <w:name w:val="heading 1"/>
    <w:basedOn w:val="Normal"/>
    <w:next w:val="Normal"/>
    <w:qFormat/>
    <w:rsid w:val="00A61256"/>
    <w:pPr>
      <w:keepNext/>
      <w:widowControl w:val="0"/>
      <w:spacing w:before="58"/>
      <w:outlineLvl w:val="0"/>
    </w:pPr>
    <w:rPr>
      <w:snapToGrid w:val="0"/>
      <w:sz w:val="18"/>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61256"/>
    <w:pPr>
      <w:tabs>
        <w:tab w:val="center" w:pos="4153"/>
        <w:tab w:val="right" w:pos="8306"/>
      </w:tabs>
    </w:pPr>
  </w:style>
  <w:style w:type="paragraph" w:styleId="BodyText2">
    <w:name w:val="Body Text 2"/>
    <w:basedOn w:val="Normal"/>
    <w:rsid w:val="00A61256"/>
    <w:pPr>
      <w:widowControl w:val="0"/>
      <w:ind w:right="-110"/>
      <w:jc w:val="both"/>
    </w:pPr>
    <w:rPr>
      <w:snapToGrid w:val="0"/>
      <w:spacing w:val="-2"/>
      <w:lang w:val="fr-FR"/>
    </w:rPr>
  </w:style>
  <w:style w:type="paragraph" w:styleId="Header">
    <w:name w:val="header"/>
    <w:basedOn w:val="Normal"/>
    <w:rsid w:val="00A61256"/>
    <w:pPr>
      <w:tabs>
        <w:tab w:val="center" w:pos="4153"/>
        <w:tab w:val="right" w:pos="8306"/>
      </w:tabs>
    </w:pPr>
  </w:style>
  <w:style w:type="character" w:styleId="PageNumber">
    <w:name w:val="page number"/>
    <w:basedOn w:val="DefaultParagraphFont"/>
    <w:rsid w:val="00A61256"/>
  </w:style>
  <w:style w:type="paragraph" w:styleId="PlainText">
    <w:name w:val="Plain Text"/>
    <w:basedOn w:val="Normal"/>
    <w:rsid w:val="00A61256"/>
    <w:rPr>
      <w:rFonts w:ascii="Courier New" w:hAnsi="Courier New"/>
    </w:rPr>
  </w:style>
  <w:style w:type="table" w:styleId="TableGrid">
    <w:name w:val="Table Grid"/>
    <w:basedOn w:val="TableNorma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Normal"/>
    <w:rsid w:val="00EF43BB"/>
    <w:pPr>
      <w:spacing w:after="160" w:line="240" w:lineRule="exact"/>
    </w:pPr>
    <w:rPr>
      <w:rFonts w:ascii="Tahoma" w:hAnsi="Tahoma"/>
      <w:lang w:val="en-US"/>
    </w:rPr>
  </w:style>
  <w:style w:type="paragraph" w:styleId="BodyText">
    <w:name w:val="Body Text"/>
    <w:basedOn w:val="Normal"/>
    <w:rsid w:val="00A14D70"/>
    <w:pPr>
      <w:spacing w:after="120"/>
    </w:pPr>
  </w:style>
  <w:style w:type="paragraph" w:customStyle="1" w:styleId="CharChar1CharCharCarCar">
    <w:name w:val="Char Char1 Char Char Car Car"/>
    <w:basedOn w:val="Normal"/>
    <w:rsid w:val="00A14D70"/>
    <w:pPr>
      <w:spacing w:after="160" w:line="240" w:lineRule="exact"/>
    </w:pPr>
    <w:rPr>
      <w:rFonts w:ascii="Tahoma" w:hAnsi="Tahoma"/>
      <w:lang w:val="en-US"/>
    </w:rPr>
  </w:style>
  <w:style w:type="paragraph" w:customStyle="1" w:styleId="CarCar">
    <w:name w:val="Car Car"/>
    <w:basedOn w:val="Normal"/>
    <w:rsid w:val="00A268F5"/>
    <w:pPr>
      <w:spacing w:after="160" w:line="240" w:lineRule="exact"/>
    </w:pPr>
    <w:rPr>
      <w:rFonts w:ascii="Tahoma" w:hAnsi="Tahoma"/>
      <w:lang w:val="en-US"/>
    </w:rPr>
  </w:style>
  <w:style w:type="paragraph" w:customStyle="1" w:styleId="CarCarCharCharCarCar">
    <w:name w:val="Car Car Char Char Car Car"/>
    <w:basedOn w:val="Normal"/>
    <w:rsid w:val="009861E5"/>
    <w:pPr>
      <w:spacing w:after="160" w:line="240" w:lineRule="exact"/>
    </w:pPr>
    <w:rPr>
      <w:rFonts w:ascii="Tahoma" w:hAnsi="Tahoma"/>
      <w:lang w:val="en-US"/>
    </w:rPr>
  </w:style>
  <w:style w:type="paragraph" w:styleId="ListParagraph">
    <w:name w:val="List Paragraph"/>
    <w:aliases w:val="Bullet List,Bullet1,Bullets Points,2nd Bullet,Table Legend"/>
    <w:basedOn w:val="Normal"/>
    <w:link w:val="ListParagraph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stParagraphChar">
    <w:name w:val="List Paragraph Char"/>
    <w:aliases w:val="Bullet List Char,Bullet1 Char,Bullets Points Char,2nd Bullet Char,Table Legend Char"/>
    <w:basedOn w:val="DefaultParagraphFont"/>
    <w:link w:val="ListParagraph"/>
    <w:uiPriority w:val="34"/>
    <w:locked/>
    <w:rsid w:val="00135551"/>
    <w:rPr>
      <w:lang w:val="fr-FR" w:eastAsia="en-US"/>
    </w:rPr>
  </w:style>
  <w:style w:type="character" w:customStyle="1" w:styleId="FooterChar">
    <w:name w:val="Footer Char"/>
    <w:basedOn w:val="DefaultParagraphFont"/>
    <w:link w:val="Footer"/>
    <w:uiPriority w:val="99"/>
    <w:rsid w:val="00CF44E9"/>
    <w:rPr>
      <w:rFonts w:ascii="Arial" w:hAnsi="Arial"/>
      <w:lang w:val="fr-BE" w:eastAsia="en-US"/>
    </w:rPr>
  </w:style>
  <w:style w:type="paragraph" w:styleId="BalloonText">
    <w:name w:val="Balloon Text"/>
    <w:basedOn w:val="Normal"/>
    <w:link w:val="BalloonTextChar"/>
    <w:rsid w:val="00CF44E9"/>
    <w:rPr>
      <w:rFonts w:ascii="Tahoma" w:hAnsi="Tahoma" w:cs="Tahoma"/>
      <w:sz w:val="16"/>
      <w:szCs w:val="16"/>
    </w:rPr>
  </w:style>
  <w:style w:type="character" w:customStyle="1" w:styleId="BalloonTextChar">
    <w:name w:val="Balloon Text Char"/>
    <w:basedOn w:val="DefaultParagraphFont"/>
    <w:link w:val="BalloonTex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12047</Words>
  <Characters>68669</Characters>
  <Application>Microsoft Office Word</Application>
  <DocSecurity>0</DocSecurity>
  <Lines>572</Lines>
  <Paragraphs>161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cp:lastModifiedBy>David Greday (RIZIV-INAMI)</cp:lastModifiedBy>
  <cp:revision>59</cp:revision>
  <cp:lastPrinted>2025-02-27T09:10:00Z</cp:lastPrinted>
  <dcterms:created xsi:type="dcterms:W3CDTF">2021-11-29T13:10:00Z</dcterms:created>
  <dcterms:modified xsi:type="dcterms:W3CDTF">2025-02-27T09:11:00Z</dcterms:modified>
</cp:coreProperties>
</file>